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6175" w14:textId="0CBDF935" w:rsidR="00643CC3" w:rsidRPr="007230B2" w:rsidRDefault="000209E5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bookmarkStart w:id="0" w:name="_GoBack"/>
      <w:bookmarkEnd w:id="0"/>
      <w:r>
        <w:rPr>
          <w:rFonts w:ascii="Calibri" w:hAnsi="Calibri"/>
          <w:spacing w:val="6"/>
          <w:sz w:val="22"/>
          <w:szCs w:val="20"/>
        </w:rPr>
        <w:t>Morelia, Micho</w:t>
      </w:r>
      <w:r w:rsidRPr="00782780">
        <w:rPr>
          <w:rFonts w:asciiTheme="minorHAnsi" w:hAnsiTheme="minorHAnsi"/>
          <w:spacing w:val="6"/>
          <w:sz w:val="22"/>
          <w:szCs w:val="22"/>
        </w:rPr>
        <w:t xml:space="preserve">acán a </w:t>
      </w:r>
      <w:r w:rsidR="00782780" w:rsidRPr="00782780">
        <w:rPr>
          <w:rFonts w:asciiTheme="minorHAnsi" w:hAnsiTheme="minorHAnsi"/>
          <w:spacing w:val="6"/>
          <w:sz w:val="22"/>
          <w:szCs w:val="22"/>
        </w:rPr>
        <w:t>[●]</w:t>
      </w:r>
      <w:r w:rsidRPr="00782780">
        <w:rPr>
          <w:rFonts w:asciiTheme="minorHAnsi" w:hAnsiTheme="minorHAnsi"/>
          <w:spacing w:val="6"/>
          <w:sz w:val="22"/>
          <w:szCs w:val="22"/>
        </w:rPr>
        <w:t xml:space="preserve"> de </w:t>
      </w:r>
      <w:r>
        <w:rPr>
          <w:rFonts w:ascii="Calibri" w:hAnsi="Calibri"/>
          <w:spacing w:val="6"/>
          <w:sz w:val="22"/>
          <w:szCs w:val="20"/>
        </w:rPr>
        <w:t>marzo de 2021.</w:t>
      </w:r>
    </w:p>
    <w:p w14:paraId="538A8E66" w14:textId="273C536F" w:rsidR="00643CC3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 xml:space="preserve">C. Carlos Maldonado Mendoza </w:t>
      </w:r>
    </w:p>
    <w:p w14:paraId="27489ABD" w14:textId="3B00B7C2" w:rsidR="00D61F1F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Secretario de Finanzas y Administración</w:t>
      </w:r>
    </w:p>
    <w:p w14:paraId="25966DD6" w14:textId="78419A84" w:rsidR="00D61F1F" w:rsidRPr="007230B2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Gobierno del Estado de Michoacán de Ocampo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</w:t>
      </w:r>
      <w:bookmarkStart w:id="1" w:name="_Hlk65169473"/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Licitación Pública </w:t>
      </w:r>
    </w:p>
    <w:p w14:paraId="00A6DFD1" w14:textId="5AE731B8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No.</w:t>
      </w:r>
      <w:r w:rsidR="00D61F1F" w:rsidRPr="00D61F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61F1F">
        <w:rPr>
          <w:rFonts w:asciiTheme="minorHAnsi" w:hAnsiTheme="minorHAnsi" w:cs="Arial"/>
          <w:b/>
          <w:bCs/>
          <w:sz w:val="22"/>
          <w:szCs w:val="22"/>
        </w:rPr>
        <w:t>SFA-LP-LI2021-01/2021</w:t>
      </w:r>
      <w:bookmarkEnd w:id="1"/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723E79BE" w:rsidR="00643CC3" w:rsidRPr="00D61F1F" w:rsidRDefault="00643CC3" w:rsidP="00D61F1F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="008C1BAE" w:rsidRPr="008C1BAE">
        <w:rPr>
          <w:rFonts w:ascii="Calibri" w:hAnsi="Calibri"/>
          <w:spacing w:val="6"/>
          <w:sz w:val="22"/>
          <w:szCs w:val="20"/>
        </w:rPr>
        <w:t xml:space="preserve"> </w:t>
      </w:r>
      <w:r w:rsidR="008C1BAE" w:rsidRPr="007230B2">
        <w:rPr>
          <w:rFonts w:ascii="Calibri" w:hAnsi="Calibri"/>
          <w:spacing w:val="6"/>
          <w:sz w:val="22"/>
          <w:szCs w:val="20"/>
        </w:rPr>
        <w:t>(el “</w:t>
      </w:r>
      <w:r w:rsidR="008C1BAE"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="008C1BAE" w:rsidRPr="007230B2"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>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</w:t>
      </w:r>
      <w:r w:rsidR="008C1BAE">
        <w:rPr>
          <w:rFonts w:ascii="Calibri" w:hAnsi="Calibri"/>
          <w:spacing w:val="6"/>
          <w:sz w:val="22"/>
          <w:szCs w:val="20"/>
        </w:rPr>
        <w:t>escritura pública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enviada el </w:t>
      </w:r>
      <w:r w:rsidR="00782780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</w:t>
      </w:r>
      <w:r w:rsidR="00D61F1F">
        <w:rPr>
          <w:rFonts w:ascii="Calibri" w:hAnsi="Calibri"/>
          <w:spacing w:val="6"/>
          <w:sz w:val="22"/>
          <w:szCs w:val="20"/>
        </w:rPr>
        <w:t xml:space="preserve"> y Administración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D61F1F">
        <w:rPr>
          <w:rFonts w:ascii="Calibri" w:hAnsi="Calibri"/>
          <w:i/>
          <w:iCs/>
          <w:spacing w:val="6"/>
          <w:sz w:val="22"/>
          <w:szCs w:val="20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 w:rsidR="00D61F1F">
        <w:rPr>
          <w:rFonts w:ascii="Calibri" w:hAnsi="Calibri"/>
          <w:spacing w:val="6"/>
          <w:sz w:val="22"/>
          <w:szCs w:val="20"/>
        </w:rPr>
        <w:t>,</w:t>
      </w:r>
      <w:r w:rsidR="00D61F1F" w:rsidRPr="00D61F1F">
        <w:rPr>
          <w:rFonts w:ascii="Calibri" w:hAnsi="Calibri"/>
          <w:spacing w:val="6"/>
          <w:sz w:val="22"/>
          <w:szCs w:val="20"/>
        </w:rPr>
        <w:t xml:space="preserve"> </w:t>
      </w:r>
      <w:r w:rsidR="00D61F1F">
        <w:rPr>
          <w:rFonts w:ascii="Calibri" w:hAnsi="Calibri"/>
          <w:spacing w:val="6"/>
          <w:sz w:val="22"/>
          <w:szCs w:val="20"/>
        </w:rPr>
        <w:t xml:space="preserve">en el marco de la </w:t>
      </w:r>
      <w:r w:rsidR="00D61F1F" w:rsidRPr="00D61F1F">
        <w:rPr>
          <w:rFonts w:ascii="Calibri" w:hAnsi="Calibri"/>
          <w:spacing w:val="6"/>
          <w:sz w:val="22"/>
          <w:szCs w:val="20"/>
        </w:rPr>
        <w:t>Licitación Pública No. SFA-LP-LI2021-01/2021</w:t>
      </w:r>
      <w:r w:rsidR="00D61F1F">
        <w:rPr>
          <w:rFonts w:ascii="Calibri" w:hAnsi="Calibri"/>
          <w:spacing w:val="6"/>
          <w:sz w:val="22"/>
          <w:szCs w:val="20"/>
        </w:rPr>
        <w:t xml:space="preserve"> convocada</w:t>
      </w:r>
      <w:r w:rsidR="008C1BAE">
        <w:rPr>
          <w:rFonts w:ascii="Calibri" w:hAnsi="Calibri"/>
          <w:spacing w:val="6"/>
          <w:sz w:val="22"/>
          <w:szCs w:val="20"/>
        </w:rPr>
        <w:t xml:space="preserve"> el </w:t>
      </w:r>
      <w:r w:rsidR="00782780">
        <w:rPr>
          <w:rFonts w:ascii="Calibri" w:hAnsi="Calibri"/>
          <w:spacing w:val="6"/>
          <w:sz w:val="22"/>
          <w:szCs w:val="20"/>
        </w:rPr>
        <w:t>[●]</w:t>
      </w:r>
      <w:r w:rsidR="008C1BAE">
        <w:rPr>
          <w:rFonts w:ascii="Calibri" w:hAnsi="Calibri"/>
          <w:spacing w:val="6"/>
          <w:sz w:val="22"/>
          <w:szCs w:val="20"/>
        </w:rPr>
        <w:t xml:space="preserve"> de </w:t>
      </w:r>
      <w:r w:rsidR="00782780">
        <w:rPr>
          <w:rFonts w:ascii="Calibri" w:hAnsi="Calibri"/>
          <w:spacing w:val="6"/>
          <w:sz w:val="22"/>
          <w:szCs w:val="20"/>
        </w:rPr>
        <w:t>[●]</w:t>
      </w:r>
      <w:r w:rsidR="008C1BAE">
        <w:rPr>
          <w:rFonts w:ascii="Calibri" w:hAnsi="Calibri"/>
          <w:spacing w:val="6"/>
          <w:sz w:val="22"/>
          <w:szCs w:val="20"/>
        </w:rPr>
        <w:t xml:space="preserve"> de 2021 por la Secretaría (la “</w:t>
      </w:r>
      <w:r w:rsidR="008C1BA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 w:rsidR="008C1BAE">
        <w:rPr>
          <w:rFonts w:ascii="Calibri" w:hAnsi="Calibri"/>
          <w:spacing w:val="6"/>
          <w:sz w:val="22"/>
          <w:szCs w:val="20"/>
        </w:rPr>
        <w:t>”)</w:t>
      </w:r>
      <w:r w:rsidR="00D61F1F">
        <w:rPr>
          <w:rFonts w:ascii="Calibri" w:hAnsi="Calibri"/>
          <w:spacing w:val="6"/>
          <w:sz w:val="22"/>
          <w:szCs w:val="20"/>
        </w:rPr>
        <w:t xml:space="preserve">, 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para el </w:t>
      </w:r>
      <w:r w:rsidR="008C1BAE">
        <w:rPr>
          <w:rFonts w:ascii="Calibri" w:hAnsi="Calibri"/>
          <w:spacing w:val="6"/>
          <w:sz w:val="22"/>
          <w:szCs w:val="20"/>
        </w:rPr>
        <w:t>i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 w:rsidR="008C1BAE">
        <w:rPr>
          <w:rFonts w:ascii="Calibri" w:hAnsi="Calibri"/>
          <w:spacing w:val="6"/>
          <w:sz w:val="22"/>
          <w:szCs w:val="20"/>
        </w:rPr>
        <w:t>d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erivado </w:t>
      </w:r>
      <w:r w:rsidR="008C1BAE">
        <w:rPr>
          <w:rFonts w:ascii="Calibri" w:hAnsi="Calibri"/>
          <w:spacing w:val="6"/>
          <w:sz w:val="22"/>
          <w:szCs w:val="20"/>
        </w:rPr>
        <w:t>de intercambio de tasas de interés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8C1BAE">
        <w:rPr>
          <w:rFonts w:ascii="Calibri" w:hAnsi="Calibri"/>
          <w:spacing w:val="6"/>
          <w:sz w:val="22"/>
          <w:szCs w:val="20"/>
        </w:rPr>
        <w:t xml:space="preserve">Banobras 1 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8C1BAE" w:rsidRDefault="00643CC3" w:rsidP="003D6EE8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8C1BAE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0C1D7DC0" w14:textId="77777777" w:rsidR="00643CC3" w:rsidRPr="008C1BAE" w:rsidRDefault="00643CC3" w:rsidP="003D6EE8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434" w14:textId="21D75AE8" w:rsidR="008C1BAE" w:rsidRPr="008C1BAE" w:rsidRDefault="008C1BAE" w:rsidP="008C1B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Contrato de apertura de crédito simple, de fecha 28 de junio de 2013, celebrado con el Banco Nacional de Obras y Servicios Públicos, S.N.C., Institución de Banca de Desarrollo (“</w:t>
            </w:r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Banobras</w:t>
            </w:r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”), hasta por la cantidad de $4’112’000,000.00 (cuatro mil ciento doce millones de pesos 00/100 M.N.) y sus siete convenios modificatorios (el “</w:t>
            </w:r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Financiamiento Banobras 1</w:t>
            </w:r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”).</w:t>
            </w:r>
          </w:p>
          <w:p w14:paraId="2C086E32" w14:textId="77777777" w:rsidR="00643CC3" w:rsidRPr="008C1BAE" w:rsidRDefault="00643CC3" w:rsidP="008C1BAE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0D23" w14:textId="4AFD9631" w:rsidR="00643CC3" w:rsidRDefault="008C1BAE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$</w:t>
            </w:r>
            <w:r w:rsidR="000B0783" w:rsidRPr="000B0783">
              <w:rPr>
                <w:rFonts w:asciiTheme="minorHAnsi" w:eastAsia="Arial" w:hAnsiTheme="minorHAnsi" w:cs="Arial"/>
                <w:bCs/>
                <w:sz w:val="22"/>
                <w:szCs w:val="22"/>
              </w:rPr>
              <w:t>3,194’791,941.40 (tres mil ciento noventa y cuatro millones setecientos noventa y un mil novecientos cuarenta y un pesos 40/100 M.N.)</w:t>
            </w:r>
            <w:r w:rsidR="001C26DB"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  <w:p w14:paraId="58878541" w14:textId="5A2D6BCA" w:rsidR="008C1BAE" w:rsidRPr="00D75CBA" w:rsidRDefault="008C1BAE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7BE8FE09" w:rsidR="00643CC3" w:rsidRPr="00D75CBA" w:rsidRDefault="008C1BAE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1,08</w:t>
            </w:r>
            <w:r w:rsidR="000B078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</w:t>
            </w: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(un mil ochenta y </w:t>
            </w:r>
            <w:r w:rsidR="000B078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cinco</w:t>
            </w: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 días, contados a partir de la Fecha de Inicio de la confirmación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5EB90572" w:rsidR="00643CC3" w:rsidRPr="00D75CBA" w:rsidRDefault="001C26DB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1</w:t>
            </w:r>
            <w:r w:rsidR="000B0783">
              <w:rPr>
                <w:rFonts w:asciiTheme="minorHAnsi" w:eastAsia="Arial" w:hAnsiTheme="minorHAnsi" w:cs="Arial"/>
                <w:bCs/>
                <w:sz w:val="22"/>
                <w:szCs w:val="22"/>
              </w:rPr>
              <w:t>2</w:t>
            </w:r>
            <w:r w:rsidR="008C1BAE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marzo </w:t>
            </w:r>
            <w:r w:rsidR="008C1BAE">
              <w:rPr>
                <w:rFonts w:asciiTheme="minorHAnsi" w:eastAsia="Arial" w:hAnsiTheme="minorHAnsi" w:cs="Arial"/>
                <w:bCs/>
                <w:sz w:val="22"/>
                <w:szCs w:val="22"/>
              </w:rPr>
              <w:t>de 2021 (incluyéndolo)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79AEAB43" w:rsidR="00643CC3" w:rsidRPr="00D75CBA" w:rsidRDefault="001C26DB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29 de febrero de 2024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5B2" w14:textId="6F5FE243" w:rsidR="00643CC3" w:rsidRDefault="001C26DB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</w:t>
            </w:r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n cada Fecha de Pago del Financiamiento Banobras 1 (según dicho término se define en el contrato de crédito), en el entendido que en el caso que los diferenciales sean a favor del Estado, la contraparte deberá abonar los recursos correspondientes en la cuenta del Fideicomiso F/4522 que para tales efectos le hubiere notificado el Estado, para que dichos recursos sean destinados al pago del Financiamiento Banobras 1 en términos del Fideicomiso F/4522.</w:t>
            </w:r>
          </w:p>
          <w:p w14:paraId="5FEFD00F" w14:textId="27D9A0B5" w:rsidR="008C1BAE" w:rsidRPr="008E71D5" w:rsidRDefault="008C1BAE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6B9702A9" w:rsidR="00643CC3" w:rsidRDefault="00C05F88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28 de junio de 2013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457DD3E1" w14:textId="452582F3" w:rsidR="00643CC3" w:rsidRDefault="00C05F88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C05F8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$4’112’000,000.00 (cuatro mil ciento doce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660AC03D" w:rsidR="00C05F88" w:rsidRDefault="00C05F88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C05F8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329570C4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3E50379D" w14:textId="2A13E9CB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El 8.18% (ocho punto dieciocho por ciento) de las participaciones, presentes y futuras, que correspondan al Estado derivadas del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lastRenderedPageBreak/>
              <w:t>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408A0E6E" w14:textId="3CDB2611" w:rsidR="00967C58" w:rsidRPr="007230B2" w:rsidRDefault="00967C58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Mecanismo de fuente de pago:</w:t>
            </w:r>
          </w:p>
        </w:tc>
        <w:tc>
          <w:tcPr>
            <w:tcW w:w="6139" w:type="dxa"/>
          </w:tcPr>
          <w:p w14:paraId="72FB1B11" w14:textId="38FFAD40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l fideicomiso irrevocable de administración y fuente de pago F/4522 de fecha 10 de noviembre de 2017, constituido por el Estado en calidad de fideicomitente y fideicomisario en segundo lugar y Banco Monex, S.A., Institución de Banca Múltiple, Grupo Financiero Monex, en calidad de fiduciario, y modificado mediante convenio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fecha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30 de mayo de 20</w:t>
            </w:r>
            <w:r w:rsidRPr="005C154E">
              <w:rPr>
                <w:rFonts w:asciiTheme="minorHAnsi" w:eastAsia="Arial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y 31 de julio de 2020 (el “</w:t>
            </w:r>
            <w:r>
              <w:rPr>
                <w:rFonts w:asciiTheme="minorHAnsi" w:eastAsia="Arial" w:hAnsiTheme="minorHAnsi" w:cs="Arial"/>
                <w:bCs/>
                <w:i/>
                <w:iCs/>
                <w:sz w:val="22"/>
                <w:szCs w:val="22"/>
                <w:u w:val="single"/>
              </w:rPr>
              <w:t>Fideicomiso F/4522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”).</w:t>
            </w:r>
          </w:p>
          <w:p w14:paraId="7DE88C68" w14:textId="581D3159" w:rsidR="00967C58" w:rsidRPr="007230B2" w:rsidRDefault="00967C58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0B0783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38E7DDC" w14:textId="77777777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</w:t>
            </w:r>
            <w:r w:rsidRPr="00373344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UOE-I-I-159-2013, RUOE-I-I-159-1-2014, RUOE-I-I-159-2-2014, RUOE-I-I-159-3-2015, RUOE-I-I-159-4-2015, RUOE-I-I-159-5-2016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 xml:space="preserve">, </w:t>
            </w:r>
            <w:r w:rsidRPr="00373344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REFO-I-1-002 y REFO-I-1-002-1.</w:t>
            </w:r>
          </w:p>
          <w:p w14:paraId="438267B3" w14:textId="480B4623" w:rsidR="00967C58" w:rsidRPr="00967C58" w:rsidRDefault="00967C58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n-US"/>
              </w:rPr>
            </w:pP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143E87C2" w:rsidR="00643CC3" w:rsidRPr="007230B2" w:rsidRDefault="00967C58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BF41A3">
              <w:rPr>
                <w:rFonts w:asciiTheme="minorHAnsi" w:eastAsia="Arial" w:hAnsiTheme="minorHAnsi" w:cs="Arial"/>
                <w:bCs/>
                <w:sz w:val="22"/>
                <w:szCs w:val="22"/>
              </w:rPr>
              <w:t>P16-0813108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1DD1AD76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</w:t>
            </w:r>
            <w:r w:rsidR="00967C58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4522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47DAF28" w14:textId="6E203061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967C5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6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21557F35" w:rsidR="00643CC3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67FDCC60" w14:textId="0E965A97" w:rsidR="00231938" w:rsidRDefault="00231938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91E12EB" w14:textId="44898F67" w:rsidR="00231938" w:rsidRPr="00E00C28" w:rsidRDefault="00231938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(h)</w:t>
      </w:r>
      <w:r>
        <w:rPr>
          <w:rFonts w:ascii="Calibri" w:hAnsi="Calibri" w:cs="Times New Roman"/>
          <w:spacing w:val="6"/>
          <w:sz w:val="22"/>
          <w:szCs w:val="22"/>
        </w:rPr>
        <w:tab/>
        <w:t xml:space="preserve">En caso de resultar licitante ganador, </w:t>
      </w:r>
      <w:r w:rsidR="001C26DB">
        <w:rPr>
          <w:rFonts w:ascii="Calibri" w:hAnsi="Calibri" w:cs="Times New Roman"/>
          <w:spacing w:val="6"/>
          <w:sz w:val="22"/>
          <w:szCs w:val="22"/>
        </w:rPr>
        <w:t xml:space="preserve">cubrirá </w:t>
      </w:r>
      <w:r>
        <w:rPr>
          <w:rFonts w:ascii="Calibri" w:hAnsi="Calibri" w:cs="Times New Roman"/>
          <w:spacing w:val="6"/>
          <w:sz w:val="22"/>
          <w:szCs w:val="22"/>
        </w:rPr>
        <w:t xml:space="preserve">el costo de rompimiento del instrumento derivado vigente </w:t>
      </w:r>
      <w:r w:rsidR="00D3684F">
        <w:rPr>
          <w:rFonts w:ascii="Calibri" w:hAnsi="Calibri" w:cs="Times New Roman"/>
          <w:spacing w:val="6"/>
          <w:sz w:val="22"/>
          <w:szCs w:val="22"/>
        </w:rPr>
        <w:t xml:space="preserve">que actualmente se encuentra asociado al Financiamiento Banobras 1 </w:t>
      </w:r>
      <w:r>
        <w:rPr>
          <w:rFonts w:ascii="Calibri" w:hAnsi="Calibri" w:cs="Times New Roman"/>
          <w:spacing w:val="6"/>
          <w:sz w:val="22"/>
          <w:szCs w:val="22"/>
        </w:rPr>
        <w:t>en los términos previstos en la Convocatoria.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AB46680" w14:textId="107A8757" w:rsidR="0023193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</w:t>
      </w:r>
      <w:r w:rsidR="00231938">
        <w:rPr>
          <w:rFonts w:ascii="Calibri" w:hAnsi="Calibri"/>
          <w:spacing w:val="6"/>
          <w:sz w:val="22"/>
          <w:szCs w:val="22"/>
        </w:rPr>
        <w:t xml:space="preserve">anexa </w:t>
      </w:r>
      <w:r w:rsidR="00231938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la tabla de amortización del Financiamiento </w:t>
      </w:r>
      <w:r w:rsidR="00231938">
        <w:rPr>
          <w:rFonts w:asciiTheme="minorHAnsi" w:hAnsiTheme="minorHAnsi" w:cstheme="minorHAnsi"/>
          <w:spacing w:val="6"/>
          <w:sz w:val="22"/>
          <w:szCs w:val="22"/>
        </w:rPr>
        <w:t xml:space="preserve">Banobras </w:t>
      </w:r>
      <w:r w:rsidR="00231938" w:rsidRPr="00720632">
        <w:rPr>
          <w:rFonts w:asciiTheme="minorHAnsi" w:hAnsiTheme="minorHAnsi" w:cstheme="minorHAnsi"/>
          <w:spacing w:val="6"/>
          <w:sz w:val="22"/>
          <w:szCs w:val="22"/>
        </w:rPr>
        <w:t>1</w:t>
      </w:r>
      <w:r w:rsidR="00231938">
        <w:rPr>
          <w:rFonts w:asciiTheme="minorHAnsi" w:hAnsiTheme="minorHAnsi" w:cstheme="minorHAnsi"/>
          <w:spacing w:val="6"/>
          <w:sz w:val="22"/>
          <w:szCs w:val="22"/>
        </w:rPr>
        <w:t>, como Anexo Único.</w:t>
      </w:r>
    </w:p>
    <w:p w14:paraId="5C232835" w14:textId="77777777" w:rsidR="00231938" w:rsidRDefault="00231938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6D446C0D" w14:textId="646D413D" w:rsidR="00643CC3" w:rsidRPr="00E00C28" w:rsidRDefault="00231938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Asimismo, se </w:t>
      </w:r>
      <w:r w:rsidR="00643CC3" w:rsidRPr="00E00C28">
        <w:rPr>
          <w:rFonts w:ascii="Calibri" w:hAnsi="Calibri"/>
          <w:spacing w:val="6"/>
          <w:sz w:val="22"/>
          <w:szCs w:val="22"/>
        </w:rPr>
        <w:t>adjuntan l</w:t>
      </w:r>
      <w:r>
        <w:rPr>
          <w:rFonts w:ascii="Calibri" w:hAnsi="Calibri"/>
          <w:spacing w:val="6"/>
          <w:sz w:val="22"/>
          <w:szCs w:val="22"/>
        </w:rPr>
        <w:t>a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 siguiente </w:t>
      </w:r>
      <w:r>
        <w:rPr>
          <w:rFonts w:ascii="Calibri" w:hAnsi="Calibri"/>
          <w:spacing w:val="6"/>
          <w:sz w:val="22"/>
          <w:szCs w:val="22"/>
        </w:rPr>
        <w:t>documentación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: </w:t>
      </w:r>
      <w:r w:rsidR="00643CC3"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="00643CC3"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="00045389" w:rsidRPr="006F24AC">
        <w:rPr>
          <w:rFonts w:asciiTheme="minorHAnsi" w:hAnsiTheme="minorHAnsi"/>
          <w:sz w:val="22"/>
          <w:szCs w:val="22"/>
        </w:rPr>
        <w:t xml:space="preserve">el contrato marco, en su caso, el suplemento para operaciones financieras derivadas y, en su caso, anexo </w:t>
      </w:r>
      <w:r w:rsidR="00045389" w:rsidRPr="00720632">
        <w:rPr>
          <w:rFonts w:asciiTheme="minorHAnsi" w:hAnsiTheme="minorHAnsi" w:cstheme="minorHAnsi"/>
          <w:sz w:val="22"/>
          <w:szCs w:val="22"/>
        </w:rPr>
        <w:t>Swap</w:t>
      </w:r>
      <w:r w:rsidR="00045389">
        <w:rPr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="00045389" w:rsidRPr="00045389">
        <w:rPr>
          <w:rFonts w:asciiTheme="minorHAnsi" w:hAnsiTheme="minorHAnsi" w:cstheme="minorHAnsi"/>
          <w:i/>
          <w:iCs/>
          <w:spacing w:val="6"/>
          <w:sz w:val="22"/>
          <w:szCs w:val="22"/>
        </w:rPr>
        <w:t>(ii)</w:t>
      </w:r>
      <w:r w:rsidR="0004538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copia de la identificación oficial vigente del representante que suscribe la Oferta </w:t>
      </w:r>
      <w:bookmarkStart w:id="2" w:name="_Hlk65171658"/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>y, en caso de ser diferente, de quien confirmará el Instrumento Derivado,</w:t>
      </w:r>
      <w:bookmarkEnd w:id="2"/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bCs/>
          <w:spacing w:val="6"/>
          <w:sz w:val="22"/>
          <w:szCs w:val="22"/>
        </w:rPr>
        <w:t>y</w:t>
      </w:r>
      <w:r w:rsidR="00643CC3" w:rsidRPr="0004538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i/>
          <w:spacing w:val="6"/>
          <w:sz w:val="22"/>
          <w:szCs w:val="22"/>
        </w:rPr>
        <w:t>(i</w:t>
      </w:r>
      <w:r>
        <w:rPr>
          <w:rFonts w:asciiTheme="minorHAnsi" w:hAnsiTheme="minorHAnsi" w:cstheme="minorHAnsi"/>
          <w:i/>
          <w:spacing w:val="6"/>
          <w:sz w:val="22"/>
          <w:szCs w:val="22"/>
        </w:rPr>
        <w:t>i</w:t>
      </w:r>
      <w:r w:rsidR="00643CC3" w:rsidRPr="00720632">
        <w:rPr>
          <w:rFonts w:asciiTheme="minorHAnsi" w:hAnsiTheme="minorHAnsi" w:cstheme="minorHAnsi"/>
          <w:i/>
          <w:spacing w:val="6"/>
          <w:sz w:val="22"/>
          <w:szCs w:val="22"/>
        </w:rPr>
        <w:t>)</w:t>
      </w:r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la Carta de Certificación de Firmas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 debidamente requisitada para, en caso de resultar ganador, se adjunte a la Solicitud de Inscripción del Swap en el Fideicomiso F/</w:t>
      </w:r>
      <w:r w:rsidR="00720632">
        <w:rPr>
          <w:rFonts w:ascii="Calibri" w:hAnsi="Calibri"/>
          <w:spacing w:val="6"/>
          <w:sz w:val="22"/>
          <w:szCs w:val="22"/>
        </w:rPr>
        <w:t>4522</w:t>
      </w:r>
      <w:r w:rsidR="00643CC3"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4ED10226" w:rsidR="00CA0315" w:rsidRDefault="004C16FF">
      <w:pPr>
        <w:rPr>
          <w:sz w:val="22"/>
          <w:szCs w:val="22"/>
        </w:rPr>
      </w:pPr>
    </w:p>
    <w:p w14:paraId="434C457E" w14:textId="6012DCDF" w:rsidR="001C26DB" w:rsidRDefault="001C26DB">
      <w:pPr>
        <w:spacing w:after="1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B038A5" w14:textId="56B912A6" w:rsidR="001C26DB" w:rsidRPr="001C26DB" w:rsidRDefault="001C26DB" w:rsidP="001C26DB">
      <w:pPr>
        <w:jc w:val="center"/>
        <w:rPr>
          <w:b/>
          <w:bCs/>
          <w:sz w:val="22"/>
          <w:szCs w:val="22"/>
        </w:rPr>
      </w:pPr>
      <w:r w:rsidRPr="001C26DB">
        <w:rPr>
          <w:b/>
          <w:bCs/>
          <w:sz w:val="22"/>
          <w:szCs w:val="22"/>
        </w:rPr>
        <w:lastRenderedPageBreak/>
        <w:t>Anexo Único</w:t>
      </w:r>
    </w:p>
    <w:p w14:paraId="150D54EE" w14:textId="63029E5D" w:rsidR="001C26DB" w:rsidRPr="001C26DB" w:rsidRDefault="001C26DB" w:rsidP="001C26DB">
      <w:pPr>
        <w:jc w:val="center"/>
        <w:rPr>
          <w:b/>
          <w:bCs/>
          <w:sz w:val="22"/>
          <w:szCs w:val="22"/>
        </w:rPr>
      </w:pPr>
      <w:r w:rsidRPr="001C26DB">
        <w:rPr>
          <w:b/>
          <w:bCs/>
          <w:sz w:val="22"/>
          <w:szCs w:val="22"/>
        </w:rPr>
        <w:t>Tabla de Amortización</w:t>
      </w:r>
    </w:p>
    <w:sectPr w:rsidR="001C26DB" w:rsidRPr="001C26DB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4B270" w14:textId="77777777" w:rsidR="004C16FF" w:rsidRDefault="004C16FF">
      <w:pPr>
        <w:spacing w:line="240" w:lineRule="auto"/>
      </w:pPr>
      <w:r>
        <w:separator/>
      </w:r>
    </w:p>
  </w:endnote>
  <w:endnote w:type="continuationSeparator" w:id="0">
    <w:p w14:paraId="4E6DEE42" w14:textId="77777777" w:rsidR="004C16FF" w:rsidRDefault="004C1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D90A9B" w:rsidRPr="00D90A9B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815F" w14:textId="77777777" w:rsidR="004C16FF" w:rsidRDefault="004C16FF">
      <w:pPr>
        <w:spacing w:line="240" w:lineRule="auto"/>
      </w:pPr>
      <w:r>
        <w:separator/>
      </w:r>
    </w:p>
  </w:footnote>
  <w:footnote w:type="continuationSeparator" w:id="0">
    <w:p w14:paraId="2B97D17D" w14:textId="77777777" w:rsidR="004C16FF" w:rsidRDefault="004C1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63" w14:textId="77777777" w:rsidR="00415174" w:rsidRPr="00114E55" w:rsidRDefault="00643CC3" w:rsidP="00D61F1F">
    <w:pPr>
      <w:pStyle w:val="Encabezado"/>
      <w:jc w:val="cent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309"/>
    <w:multiLevelType w:val="hybridMultilevel"/>
    <w:tmpl w:val="801C1D84"/>
    <w:lvl w:ilvl="0" w:tplc="FDD0DA7C">
      <w:start w:val="1"/>
      <w:numFmt w:val="lowerRoman"/>
      <w:lvlText w:val="(%1)"/>
      <w:lvlJc w:val="left"/>
      <w:pPr>
        <w:ind w:left="1080" w:hanging="72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209E5"/>
    <w:rsid w:val="00045389"/>
    <w:rsid w:val="000B0783"/>
    <w:rsid w:val="000E1A74"/>
    <w:rsid w:val="001950F9"/>
    <w:rsid w:val="001C26DB"/>
    <w:rsid w:val="001D3CFD"/>
    <w:rsid w:val="001E5A7D"/>
    <w:rsid w:val="002029B9"/>
    <w:rsid w:val="00203520"/>
    <w:rsid w:val="00227EA6"/>
    <w:rsid w:val="00231938"/>
    <w:rsid w:val="00254FB1"/>
    <w:rsid w:val="0026668F"/>
    <w:rsid w:val="002C1D10"/>
    <w:rsid w:val="002D028E"/>
    <w:rsid w:val="00312C00"/>
    <w:rsid w:val="00322D13"/>
    <w:rsid w:val="003507B5"/>
    <w:rsid w:val="003C33FA"/>
    <w:rsid w:val="003C6223"/>
    <w:rsid w:val="003F11CD"/>
    <w:rsid w:val="004411C3"/>
    <w:rsid w:val="0046374D"/>
    <w:rsid w:val="004B7B56"/>
    <w:rsid w:val="004C16FF"/>
    <w:rsid w:val="004C3A2E"/>
    <w:rsid w:val="005D7064"/>
    <w:rsid w:val="005F2A8B"/>
    <w:rsid w:val="00623839"/>
    <w:rsid w:val="00643CC3"/>
    <w:rsid w:val="00664E96"/>
    <w:rsid w:val="00684DD3"/>
    <w:rsid w:val="0071472B"/>
    <w:rsid w:val="00720632"/>
    <w:rsid w:val="00735A7B"/>
    <w:rsid w:val="00782780"/>
    <w:rsid w:val="00873400"/>
    <w:rsid w:val="00886D76"/>
    <w:rsid w:val="008C1BAE"/>
    <w:rsid w:val="00967C58"/>
    <w:rsid w:val="00985B64"/>
    <w:rsid w:val="00A23D64"/>
    <w:rsid w:val="00A86AA0"/>
    <w:rsid w:val="00AC2FB6"/>
    <w:rsid w:val="00B13296"/>
    <w:rsid w:val="00B517DE"/>
    <w:rsid w:val="00B60077"/>
    <w:rsid w:val="00B74D2D"/>
    <w:rsid w:val="00C05F88"/>
    <w:rsid w:val="00C226E0"/>
    <w:rsid w:val="00C44216"/>
    <w:rsid w:val="00C453D1"/>
    <w:rsid w:val="00C53960"/>
    <w:rsid w:val="00C9371F"/>
    <w:rsid w:val="00CD2A17"/>
    <w:rsid w:val="00D3684F"/>
    <w:rsid w:val="00D61F1F"/>
    <w:rsid w:val="00D75CBA"/>
    <w:rsid w:val="00D90A9B"/>
    <w:rsid w:val="00DC673E"/>
    <w:rsid w:val="00DC7496"/>
    <w:rsid w:val="00DF6C26"/>
    <w:rsid w:val="00E00C28"/>
    <w:rsid w:val="00E0447C"/>
    <w:rsid w:val="00E65E45"/>
    <w:rsid w:val="00F5124B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josue</cp:lastModifiedBy>
  <cp:revision>2</cp:revision>
  <dcterms:created xsi:type="dcterms:W3CDTF">2021-03-09T02:43:00Z</dcterms:created>
  <dcterms:modified xsi:type="dcterms:W3CDTF">2021-03-09T02:43:00Z</dcterms:modified>
</cp:coreProperties>
</file>