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E38B7" w14:textId="77777777" w:rsidR="00D42E05" w:rsidRDefault="00000000" w:rsidP="0002197C">
      <w:pPr>
        <w:spacing w:after="0" w:line="264" w:lineRule="auto"/>
        <w:jc w:val="center"/>
        <w:rPr>
          <w:rFonts w:ascii="Gibson" w:hAnsi="Gibson"/>
          <w:b/>
          <w:bCs/>
          <w:sz w:val="20"/>
          <w:szCs w:val="20"/>
        </w:rPr>
      </w:pPr>
      <w:r>
        <w:rPr>
          <w:rFonts w:ascii="Gibson" w:hAnsi="Gibson"/>
          <w:b/>
          <w:bCs/>
          <w:sz w:val="20"/>
          <w:szCs w:val="20"/>
        </w:rPr>
        <w:t>Anexo 5</w:t>
      </w:r>
    </w:p>
    <w:p w14:paraId="3D928ECF" w14:textId="77777777" w:rsidR="00D42E05" w:rsidRDefault="00000000" w:rsidP="0002197C">
      <w:pPr>
        <w:spacing w:after="0" w:line="264" w:lineRule="auto"/>
        <w:jc w:val="center"/>
        <w:rPr>
          <w:rFonts w:ascii="Gibson" w:hAnsi="Gibson"/>
          <w:b/>
          <w:bCs/>
          <w:sz w:val="20"/>
          <w:szCs w:val="20"/>
        </w:rPr>
      </w:pPr>
      <w:r>
        <w:rPr>
          <w:rFonts w:ascii="Gibson" w:hAnsi="Gibson"/>
          <w:b/>
          <w:bCs/>
          <w:sz w:val="20"/>
          <w:szCs w:val="20"/>
        </w:rPr>
        <w:t>Tabla de Amortizaciones Indicativa</w:t>
      </w:r>
    </w:p>
    <w:p w14:paraId="3A7D7C3B" w14:textId="77777777" w:rsidR="00D42E05" w:rsidRDefault="00D42E05">
      <w:pPr>
        <w:spacing w:after="0" w:line="264" w:lineRule="auto"/>
        <w:jc w:val="center"/>
        <w:rPr>
          <w:rFonts w:ascii="Gibson" w:hAnsi="Gibson"/>
          <w:sz w:val="8"/>
          <w:szCs w:val="8"/>
        </w:rPr>
      </w:pPr>
    </w:p>
    <w:p w14:paraId="7B13C5E3" w14:textId="77777777" w:rsidR="00D42E05" w:rsidRPr="0002197C" w:rsidRDefault="00000000">
      <w:pPr>
        <w:pStyle w:val="Prrafodelista"/>
        <w:tabs>
          <w:tab w:val="left" w:pos="567"/>
          <w:tab w:val="left" w:pos="2552"/>
        </w:tabs>
        <w:spacing w:after="0" w:line="264" w:lineRule="auto"/>
        <w:ind w:left="-142"/>
        <w:jc w:val="both"/>
        <w:rPr>
          <w:rFonts w:ascii="Gibson" w:hAnsi="Gibson"/>
          <w:sz w:val="16"/>
          <w:szCs w:val="16"/>
        </w:rPr>
      </w:pPr>
      <w:r w:rsidRPr="0002197C">
        <w:rPr>
          <w:rFonts w:ascii="Gibson" w:hAnsi="Gibson"/>
          <w:sz w:val="16"/>
          <w:szCs w:val="16"/>
        </w:rPr>
        <w:t>En términos de lo establecido en la Licitación Pública, la disposición tendrá un perfil de amortización específico mediante pagos mensuales y consecutivos conforme a cada ministración del Fondo de Aportaciones para el Fortalecimiento de las Entidades Federativas; el pago mensual de la disposición por concepto de capital más intereses serán iguales durante la vigencia del Financiamiento, y dichos pagos, más, en su caso, lo correspondiente por disposiciones previas, no deberá rebasar en ningún caso el Porcentaje de FAFEF.</w:t>
      </w:r>
    </w:p>
    <w:p w14:paraId="409B893B" w14:textId="77777777" w:rsidR="00D42E05" w:rsidRPr="0002197C" w:rsidRDefault="00D42E05">
      <w:pPr>
        <w:pStyle w:val="Prrafodelista"/>
        <w:tabs>
          <w:tab w:val="left" w:pos="567"/>
          <w:tab w:val="left" w:pos="2552"/>
        </w:tabs>
        <w:spacing w:after="0" w:line="264" w:lineRule="auto"/>
        <w:ind w:left="-142"/>
        <w:jc w:val="both"/>
        <w:rPr>
          <w:rFonts w:ascii="Gibson" w:hAnsi="Gibson"/>
          <w:sz w:val="16"/>
          <w:szCs w:val="16"/>
        </w:rPr>
      </w:pPr>
    </w:p>
    <w:p w14:paraId="29EC6856" w14:textId="77777777" w:rsidR="00D42E05" w:rsidRPr="0002197C" w:rsidRDefault="00000000">
      <w:pPr>
        <w:pStyle w:val="Prrafodelista"/>
        <w:tabs>
          <w:tab w:val="left" w:pos="567"/>
          <w:tab w:val="left" w:pos="2552"/>
        </w:tabs>
        <w:spacing w:after="0" w:line="264" w:lineRule="auto"/>
        <w:ind w:left="-142"/>
        <w:jc w:val="both"/>
        <w:rPr>
          <w:rFonts w:ascii="Gibson" w:hAnsi="Gibson"/>
          <w:sz w:val="16"/>
          <w:szCs w:val="16"/>
        </w:rPr>
      </w:pPr>
      <w:r w:rsidRPr="0002197C">
        <w:rPr>
          <w:rFonts w:ascii="Gibson" w:hAnsi="Gibson"/>
          <w:sz w:val="16"/>
          <w:szCs w:val="16"/>
        </w:rPr>
        <w:t>La presente tabla corresponde a una estimación indicativa considerando una única disposición del Financiamiento y un plazo de amortización de hasta 37 meses, en el entendido que, el plazo de amortización de la disposición podrá ajustarse a la baja considerando la fecha en la que efectivamente se lleve a cabo la disposición de recursos y sin rebasar en ningún caso la fecha máxima de vencimiento que será el 31 de agosto de 2027. El plazo de amortización en ningún caso podrá ser mayor a 37 meses. Asimismo, en virtud de que el esquema contempla un esquema de pagos iguales (capital más intereses), los factores de amortización que efectivamente correspondan a la disposición de recursos podrán ajustarse, en función de la Tasa de Interés Aplicable al Financiamiento, para lograr dicho esquema.</w:t>
      </w:r>
    </w:p>
    <w:p w14:paraId="6D6B8527" w14:textId="77777777" w:rsidR="00D42E05" w:rsidRDefault="00D42E05">
      <w:pPr>
        <w:pStyle w:val="Prrafodelista"/>
        <w:tabs>
          <w:tab w:val="left" w:pos="567"/>
          <w:tab w:val="left" w:pos="2552"/>
        </w:tabs>
        <w:spacing w:after="0" w:line="264" w:lineRule="auto"/>
        <w:ind w:left="708"/>
        <w:jc w:val="both"/>
        <w:rPr>
          <w:rFonts w:ascii="Gibson" w:hAnsi="Gibson"/>
        </w:rPr>
      </w:pPr>
    </w:p>
    <w:tbl>
      <w:tblPr>
        <w:tblW w:w="890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5"/>
        <w:gridCol w:w="2466"/>
        <w:gridCol w:w="2390"/>
        <w:gridCol w:w="2516"/>
      </w:tblGrid>
      <w:tr w:rsidR="00D42E05" w14:paraId="349A288E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0282C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Periodo</w:t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1F554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Factor de Amortización</w:t>
            </w:r>
          </w:p>
        </w:tc>
        <w:tc>
          <w:tcPr>
            <w:tcW w:w="23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D6D16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Amortización</w:t>
            </w:r>
          </w:p>
        </w:tc>
        <w:tc>
          <w:tcPr>
            <w:tcW w:w="2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AEA91A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Intereses</w:t>
            </w:r>
          </w:p>
        </w:tc>
      </w:tr>
      <w:tr w:rsidR="00D42E05" w14:paraId="141AEE21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2AED3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982F4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2.962514%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1D495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50,362,740.05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354168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3,543,518.28 </w:t>
            </w:r>
          </w:p>
        </w:tc>
      </w:tr>
      <w:tr w:rsidR="00D42E05" w14:paraId="30290949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2E1611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17F37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2.275202%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A302D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38,678,433.68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272E54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15,227,824.64 </w:t>
            </w:r>
          </w:p>
        </w:tc>
      </w:tr>
      <w:tr w:rsidR="00D42E05" w14:paraId="1D7BE38E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55F4E9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15BBF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2.296204%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984B4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39,035,474.85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74D0D1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14,870,783.48 </w:t>
            </w:r>
          </w:p>
        </w:tc>
      </w:tr>
      <w:tr w:rsidR="00D42E05" w14:paraId="23660F63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D57B5B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A1172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2.372469%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C35E1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40,331,969.70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9BCF21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13,574,288.63 </w:t>
            </w:r>
          </w:p>
        </w:tc>
      </w:tr>
      <w:tr w:rsidR="00D42E05" w14:paraId="124C5199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69201C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18F29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2.312473%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E128E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39,312,047.76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7A9252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14,594,210.57 </w:t>
            </w:r>
          </w:p>
        </w:tc>
      </w:tr>
      <w:tr w:rsidR="00D42E05" w14:paraId="6A30B984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E30D29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CA8AC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2.360647%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FB2F6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40,131,006.90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617776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13,775,251.43 </w:t>
            </w:r>
          </w:p>
        </w:tc>
      </w:tr>
      <w:tr w:rsidR="00D42E05" w14:paraId="7FEC844B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49DA03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D95DC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2.458747%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ADA90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41,798,695.65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8F7E49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12,107,562.68 </w:t>
            </w:r>
          </w:p>
        </w:tc>
      </w:tr>
      <w:tr w:rsidR="00D42E05" w14:paraId="7AE56670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C1FEB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138CA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2.405135%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C5C9F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40,887,301.13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2A254A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13,018,957.19 </w:t>
            </w:r>
          </w:p>
        </w:tc>
      </w:tr>
      <w:tr w:rsidR="00D42E05" w14:paraId="50B010A8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97DFBB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EEB50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2.451325%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648DB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41,672,523.54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65EFDF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12,233,734.79 </w:t>
            </w:r>
          </w:p>
        </w:tc>
      </w:tr>
      <w:tr w:rsidR="00D42E05" w14:paraId="4BB90ACE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7BE449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18388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2.473223%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FEF65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42,044,794.17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9FBA40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11,861,464.16 </w:t>
            </w:r>
          </w:p>
        </w:tc>
      </w:tr>
      <w:tr w:rsidR="00D42E05" w14:paraId="67AFAC1F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E06DB6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D8FAD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2.472796%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D87EF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42,037,528.11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B4BC7C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11,868,730.21 </w:t>
            </w:r>
          </w:p>
        </w:tc>
      </w:tr>
      <w:tr w:rsidR="00D42E05" w14:paraId="5AE61075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B219D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563A4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2.495622%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C8217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42,425,577.12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177B67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11,480,681.20 </w:t>
            </w:r>
          </w:p>
        </w:tc>
      </w:tr>
      <w:tr w:rsidR="00D42E05" w14:paraId="4BB75BA0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124407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88D1F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2.560743%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AAA2B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43,532,630.81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BEE72D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10,373,627.52 </w:t>
            </w:r>
          </w:p>
        </w:tc>
      </w:tr>
      <w:tr w:rsidR="00D42E05" w14:paraId="352FF020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42F565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D0F97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2.522018%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BDCEA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42,874,310.17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B6B44F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11,031,948.16 </w:t>
            </w:r>
          </w:p>
        </w:tc>
      </w:tr>
      <w:tr w:rsidR="00D42E05" w14:paraId="710CFF6F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1BCE29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0C483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2.565578%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FADF8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43,614,831.90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1D31E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10,291,426.42 </w:t>
            </w:r>
          </w:p>
        </w:tc>
      </w:tr>
      <w:tr w:rsidR="00D42E05" w14:paraId="46AED780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B047DA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139DA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2.645554%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56139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44,974,423.35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FF9973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8,931,834.98 </w:t>
            </w:r>
          </w:p>
        </w:tc>
      </w:tr>
      <w:tr w:rsidR="00D42E05" w14:paraId="1C482CFA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8E13C1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98AD2E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2.577729%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87DED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43,821,396.83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43BA20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10,084,861.50 </w:t>
            </w:r>
          </w:p>
        </w:tc>
      </w:tr>
      <w:tr w:rsidR="00D42E05" w14:paraId="66E81B45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23403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20B9D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2.654686%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46C89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45,129,669.45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04B030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8,776,588.88 </w:t>
            </w:r>
          </w:p>
        </w:tc>
      </w:tr>
      <w:tr w:rsidR="00D42E05" w14:paraId="7C49D54D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6B0D64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EDA1AD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2.711238%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0367F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46,091,052.57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179F5F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7,815,205.76 </w:t>
            </w:r>
          </w:p>
        </w:tc>
      </w:tr>
      <w:tr w:rsidR="00D42E05" w14:paraId="78F22860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88EA5A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35072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2.671399%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1DF69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45,413,786.50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648940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8,492,471.82 </w:t>
            </w:r>
          </w:p>
        </w:tc>
      </w:tr>
      <w:tr w:rsidR="00D42E05" w14:paraId="006BD284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03D9B1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34E05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2.726486%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4CCE4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46,350,258.22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850DB5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7,556,000.11 </w:t>
            </w:r>
          </w:p>
        </w:tc>
      </w:tr>
      <w:tr w:rsidR="00D42E05" w14:paraId="3C696282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77CBDF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51383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2.764846%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5A644E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47,002,380.91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6C467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6,903,877.42 </w:t>
            </w:r>
          </w:p>
        </w:tc>
      </w:tr>
      <w:tr w:rsidR="00D42E05" w14:paraId="31421582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4ECD2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DF4BB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2.749180%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26581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46,736,062.44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CCC8DA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7,170,195.88 </w:t>
            </w:r>
          </w:p>
        </w:tc>
      </w:tr>
      <w:tr w:rsidR="00D42E05" w14:paraId="286231CA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3FEC8D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2AC45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2.787738%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7C51B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47,391,552.31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D1882E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6,514,706.01 </w:t>
            </w:r>
          </w:p>
        </w:tc>
      </w:tr>
      <w:tr w:rsidR="00D42E05" w14:paraId="414A6582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1CED7F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FF62F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2.813472%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422C5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47,829,024.40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56B429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6,077,233.93 </w:t>
            </w:r>
          </w:p>
        </w:tc>
      </w:tr>
      <w:tr w:rsidR="00D42E05" w14:paraId="3E4B1897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24F32F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22C70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2.850137%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FA0C6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48,452,332.32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87AED6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5,453,926.00 </w:t>
            </w:r>
          </w:p>
        </w:tc>
      </w:tr>
      <w:tr w:rsidR="00D42E05" w14:paraId="6DEA1B2C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FB3251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648FB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2.875598%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AB32D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48,885,168.61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E8B811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5,021,089.72 </w:t>
            </w:r>
          </w:p>
        </w:tc>
      </w:tr>
      <w:tr w:rsidR="00D42E05" w14:paraId="5107176A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214D43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DDAEF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2.892298%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4C343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49,169,058.62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23C346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4,737,199.70 </w:t>
            </w:r>
          </w:p>
        </w:tc>
      </w:tr>
      <w:tr w:rsidR="00D42E05" w14:paraId="5D0CC091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1A262F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37A966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2.918996%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A7D1A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49,622,938.89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4E407D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4,283,319.43 </w:t>
            </w:r>
          </w:p>
        </w:tc>
      </w:tr>
      <w:tr w:rsidR="00D42E05" w14:paraId="12183F15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446D9E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E124D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2.960459%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0EDE2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50,327,799.22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32F61A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3,578,459.11 </w:t>
            </w:r>
          </w:p>
        </w:tc>
      </w:tr>
      <w:tr w:rsidR="00D42E05" w14:paraId="4FF68C64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8B0DE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5FCE1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2.992401%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32179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50,870,811.95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C801B6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3,035,446.37 </w:t>
            </w:r>
          </w:p>
        </w:tc>
      </w:tr>
      <w:tr w:rsidR="00D42E05" w14:paraId="54C23DEA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74BA1C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49F95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2.989921%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B080D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50,828,653.21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B083EE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3,077,605.12 </w:t>
            </w:r>
          </w:p>
        </w:tc>
      </w:tr>
      <w:tr w:rsidR="00D42E05" w14:paraId="2B9F5D70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CE2EF9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ECCEB1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3.033088%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C213AD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51,562,500.02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79903E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2,343,758.31 </w:t>
            </w:r>
          </w:p>
        </w:tc>
      </w:tr>
      <w:tr w:rsidR="00D42E05" w14:paraId="036901BC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D04D09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8005A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3.056491%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24B5F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51,960,348.90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324AB5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1,945,909.43 </w:t>
            </w:r>
          </w:p>
        </w:tc>
      </w:tr>
      <w:tr w:rsidR="00D42E05" w14:paraId="2FE59BD4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744610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0B990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3.087488%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BBCEC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52,487,294.41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BB46D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1,418,963.92 </w:t>
            </w:r>
          </w:p>
        </w:tc>
      </w:tr>
      <w:tr w:rsidR="00D42E05" w14:paraId="2008F937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97F2E1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D5390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3.115069%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BB37F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52,956,175.97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71F677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    950,082.36 </w:t>
            </w:r>
          </w:p>
        </w:tc>
      </w:tr>
      <w:tr w:rsidR="00D42E05" w14:paraId="2DB70477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4D7F7C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07CFC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>3.141030%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78738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/>
                <w:sz w:val="18"/>
                <w:szCs w:val="18"/>
              </w:rPr>
              <w:t xml:space="preserve"> 53,397,445.36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B479B" w14:textId="77777777" w:rsidR="00D42E05" w:rsidRDefault="00000000">
            <w:pPr>
              <w:spacing w:after="0" w:line="240" w:lineRule="auto"/>
              <w:jc w:val="center"/>
            </w:pPr>
            <w:r>
              <w:rPr>
                <w:rFonts w:ascii="Gibson" w:hAnsi="Gibson" w:cs="Calibri Light"/>
                <w:color w:val="000000"/>
                <w:sz w:val="18"/>
                <w:szCs w:val="18"/>
              </w:rPr>
              <w:t xml:space="preserve">                          508,812.97 </w:t>
            </w:r>
          </w:p>
        </w:tc>
      </w:tr>
      <w:tr w:rsidR="00D42E05" w14:paraId="24505A56" w14:textId="77777777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330612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24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7CCD42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b/>
                <w:bCs/>
                <w:color w:val="000000"/>
                <w:sz w:val="16"/>
                <w:szCs w:val="16"/>
                <w:lang w:eastAsia="es-MX"/>
              </w:rPr>
              <w:t>100.000000%</w:t>
            </w:r>
          </w:p>
        </w:tc>
        <w:tc>
          <w:tcPr>
            <w:tcW w:w="23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B4C52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   1,700,000,000.00 </w:t>
            </w:r>
          </w:p>
        </w:tc>
        <w:tc>
          <w:tcPr>
            <w:tcW w:w="25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0BBCA1" w14:textId="77777777" w:rsidR="00D42E05" w:rsidRDefault="00000000">
            <w:pPr>
              <w:spacing w:after="0" w:line="240" w:lineRule="auto"/>
              <w:jc w:val="center"/>
              <w:rPr>
                <w:rFonts w:ascii="Gibson" w:eastAsia="Times New Roman" w:hAnsi="Gibson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Gibson" w:eastAsia="Times New Roman" w:hAnsi="Gibson" w:cs="Calibri"/>
                <w:b/>
                <w:bCs/>
                <w:color w:val="000000"/>
                <w:sz w:val="16"/>
                <w:szCs w:val="16"/>
                <w:lang w:eastAsia="es-MX"/>
              </w:rPr>
              <w:t>294,531,558.09</w:t>
            </w:r>
          </w:p>
        </w:tc>
      </w:tr>
    </w:tbl>
    <w:p w14:paraId="39A653CF" w14:textId="77777777" w:rsidR="00D42E05" w:rsidRDefault="00D42E05"/>
    <w:sectPr w:rsidR="00D42E05"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7D34C" w14:textId="77777777" w:rsidR="00F470E2" w:rsidRDefault="00F470E2">
      <w:pPr>
        <w:spacing w:after="0" w:line="240" w:lineRule="auto"/>
      </w:pPr>
      <w:r>
        <w:separator/>
      </w:r>
    </w:p>
  </w:endnote>
  <w:endnote w:type="continuationSeparator" w:id="0">
    <w:p w14:paraId="7C071C6B" w14:textId="77777777" w:rsidR="00F470E2" w:rsidRDefault="00F47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bson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288CF" w14:textId="77777777" w:rsidR="00F470E2" w:rsidRDefault="00F470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528507" w14:textId="77777777" w:rsidR="00F470E2" w:rsidRDefault="00F47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42E05"/>
    <w:rsid w:val="0002197C"/>
    <w:rsid w:val="004E45E2"/>
    <w:rsid w:val="005B1265"/>
    <w:rsid w:val="00D42E05"/>
    <w:rsid w:val="00F4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C20C"/>
  <w15:docId w15:val="{C0ACEE97-BE04-4BCF-AD9A-653C342B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sz w:val="22"/>
        <w:szCs w:val="22"/>
        <w:lang w:val="es-MX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1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 w:line="256" w:lineRule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 w:line="256" w:lineRule="auto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56" w:lineRule="auto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56" w:lineRule="auto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56" w:lineRule="auto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56" w:lineRule="auto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 w:line="256" w:lineRule="auto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 w:line="256" w:lineRule="auto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 w:line="256" w:lineRule="auto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line="256" w:lineRule="auto"/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 w:line="256" w:lineRule="auto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spacing w:line="256" w:lineRule="auto"/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character" w:customStyle="1" w:styleId="PrrafodelistaCar">
    <w:name w:val="Párrafo de lista C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Josué Adrián Ortiz Calderón</dc:creator>
  <dc:description/>
  <cp:lastModifiedBy>Josué Adrián Ortiz Calderón</cp:lastModifiedBy>
  <cp:revision>2</cp:revision>
  <dcterms:created xsi:type="dcterms:W3CDTF">2024-08-26T18:29:00Z</dcterms:created>
  <dcterms:modified xsi:type="dcterms:W3CDTF">2024-08-26T18:29:00Z</dcterms:modified>
</cp:coreProperties>
</file>