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BEEC6" w14:textId="4A72865B" w:rsidR="004C2A5D" w:rsidRPr="004A4B41" w:rsidRDefault="004C2A5D" w:rsidP="004B2EE0">
      <w:pPr>
        <w:spacing w:line="240" w:lineRule="auto"/>
        <w:jc w:val="center"/>
        <w:rPr>
          <w:rFonts w:ascii="Gibson" w:hAnsi="Gibson" w:cstheme="minorHAnsi"/>
          <w:b/>
          <w:bCs/>
          <w:sz w:val="22"/>
          <w:szCs w:val="22"/>
          <w:lang w:val="pt-BR"/>
        </w:rPr>
      </w:pPr>
      <w:r w:rsidRPr="004A4B41">
        <w:rPr>
          <w:rFonts w:ascii="Gibson" w:hAnsi="Gibson" w:cstheme="minorHAnsi"/>
          <w:b/>
          <w:bCs/>
          <w:sz w:val="22"/>
          <w:szCs w:val="22"/>
          <w:lang w:val="pt-BR"/>
        </w:rPr>
        <w:t xml:space="preserve">Anexo </w:t>
      </w:r>
      <w:r w:rsidR="004A4B41">
        <w:rPr>
          <w:rFonts w:ascii="Gibson" w:hAnsi="Gibson" w:cstheme="minorHAnsi"/>
          <w:b/>
          <w:bCs/>
          <w:sz w:val="22"/>
          <w:szCs w:val="22"/>
          <w:lang w:val="pt-BR"/>
        </w:rPr>
        <w:t>2</w:t>
      </w:r>
    </w:p>
    <w:p w14:paraId="5F440535" w14:textId="77777777" w:rsidR="004C2A5D" w:rsidRPr="004A4B41" w:rsidRDefault="004C2A5D" w:rsidP="004C2A5D">
      <w:pPr>
        <w:spacing w:line="240" w:lineRule="auto"/>
        <w:jc w:val="center"/>
        <w:rPr>
          <w:rFonts w:ascii="Gibson" w:hAnsi="Gibson" w:cstheme="minorHAnsi"/>
          <w:b/>
          <w:bCs/>
          <w:sz w:val="22"/>
          <w:szCs w:val="22"/>
          <w:lang w:val="pt-BR"/>
        </w:rPr>
      </w:pPr>
      <w:r w:rsidRPr="004A4B41">
        <w:rPr>
          <w:rFonts w:ascii="Gibson" w:hAnsi="Gibson" w:cstheme="minorHAnsi"/>
          <w:b/>
          <w:bCs/>
          <w:sz w:val="22"/>
          <w:szCs w:val="22"/>
          <w:lang w:val="pt-BR"/>
        </w:rPr>
        <w:t>Formato de Oferta de Crédito</w:t>
      </w:r>
    </w:p>
    <w:p w14:paraId="4F88B5F1" w14:textId="77777777" w:rsidR="004C2A5D" w:rsidRPr="004A4B41" w:rsidRDefault="004C2A5D" w:rsidP="004C2A5D">
      <w:pPr>
        <w:spacing w:line="240" w:lineRule="auto"/>
        <w:jc w:val="center"/>
        <w:rPr>
          <w:rFonts w:ascii="Gibson" w:hAnsi="Gibson" w:cstheme="minorHAnsi"/>
          <w:b/>
          <w:bCs/>
          <w:sz w:val="22"/>
          <w:szCs w:val="22"/>
          <w:lang w:val="pt-BR"/>
        </w:rPr>
      </w:pPr>
    </w:p>
    <w:p w14:paraId="436BA498" w14:textId="540EC203" w:rsidR="004C2A5D" w:rsidRPr="006D1E13" w:rsidRDefault="004B2EE0" w:rsidP="004C2A5D">
      <w:pPr>
        <w:spacing w:line="240" w:lineRule="auto"/>
        <w:jc w:val="right"/>
        <w:rPr>
          <w:rFonts w:ascii="Gibson" w:hAnsi="Gibson" w:cstheme="minorHAnsi"/>
          <w:sz w:val="22"/>
          <w:szCs w:val="22"/>
          <w:lang w:val="es-MX"/>
        </w:rPr>
      </w:pPr>
      <w:r>
        <w:rPr>
          <w:rFonts w:ascii="Gibson" w:hAnsi="Gibson" w:cstheme="minorHAnsi"/>
          <w:sz w:val="22"/>
          <w:szCs w:val="22"/>
          <w:lang w:val="es-MX"/>
        </w:rPr>
        <w:t>[</w:t>
      </w:r>
      <w:r w:rsidRPr="004B2EE0">
        <w:rPr>
          <w:rFonts w:ascii="Gibson" w:hAnsi="Gibson" w:cstheme="minorHAnsi"/>
          <w:i/>
          <w:iCs/>
          <w:sz w:val="22"/>
          <w:szCs w:val="22"/>
          <w:lang w:val="es-MX"/>
        </w:rPr>
        <w:t>Lugar de suscripción</w:t>
      </w:r>
      <w:r>
        <w:rPr>
          <w:rFonts w:ascii="Gibson" w:hAnsi="Gibson" w:cstheme="minorHAnsi"/>
          <w:sz w:val="22"/>
          <w:szCs w:val="22"/>
          <w:lang w:val="es-MX"/>
        </w:rPr>
        <w:t>],</w:t>
      </w:r>
      <w:r w:rsidR="004C2A5D" w:rsidRPr="006D1E13">
        <w:rPr>
          <w:rFonts w:ascii="Gibson" w:hAnsi="Gibson" w:cstheme="minorHAnsi"/>
          <w:sz w:val="22"/>
          <w:szCs w:val="22"/>
          <w:lang w:val="es-MX"/>
        </w:rPr>
        <w:t xml:space="preserve"> a [</w:t>
      </w:r>
      <w:r w:rsidR="00542778" w:rsidRPr="00542778">
        <w:rPr>
          <w:rFonts w:ascii="Gibson" w:eastAsia="Arial" w:hAnsi="Gibson" w:cstheme="minorHAnsi"/>
          <w:color w:val="000000"/>
          <w:spacing w:val="-1"/>
          <w:sz w:val="22"/>
          <w:szCs w:val="22"/>
          <w:lang w:val="es-MX"/>
        </w:rPr>
        <w:t>•</w:t>
      </w:r>
      <w:r w:rsidR="004C2A5D" w:rsidRPr="006D1E13">
        <w:rPr>
          <w:rFonts w:ascii="Gibson" w:hAnsi="Gibson" w:cstheme="minorHAnsi"/>
          <w:sz w:val="22"/>
          <w:szCs w:val="22"/>
          <w:lang w:val="es-MX"/>
        </w:rPr>
        <w:t>] de [</w:t>
      </w:r>
      <w:r w:rsidR="00542778" w:rsidRPr="00542778">
        <w:rPr>
          <w:rFonts w:ascii="Gibson" w:eastAsia="Arial" w:hAnsi="Gibson" w:cstheme="minorHAnsi"/>
          <w:color w:val="000000"/>
          <w:spacing w:val="-1"/>
          <w:sz w:val="22"/>
          <w:szCs w:val="22"/>
          <w:lang w:val="es-MX"/>
        </w:rPr>
        <w:t>•</w:t>
      </w:r>
      <w:r w:rsidR="004C2A5D" w:rsidRPr="006D1E13">
        <w:rPr>
          <w:rFonts w:ascii="Gibson" w:hAnsi="Gibson" w:cstheme="minorHAnsi"/>
          <w:sz w:val="22"/>
          <w:szCs w:val="22"/>
          <w:lang w:val="es-MX"/>
        </w:rPr>
        <w:t>] de 202</w:t>
      </w:r>
      <w:r w:rsidR="004A4B41">
        <w:rPr>
          <w:rFonts w:ascii="Gibson" w:hAnsi="Gibson" w:cstheme="minorHAnsi"/>
          <w:sz w:val="22"/>
          <w:szCs w:val="22"/>
          <w:lang w:val="es-MX"/>
        </w:rPr>
        <w:t>4</w:t>
      </w:r>
      <w:r w:rsidR="00960E4E">
        <w:rPr>
          <w:rFonts w:ascii="Gibson" w:hAnsi="Gibson" w:cstheme="minorHAnsi"/>
          <w:sz w:val="22"/>
          <w:szCs w:val="22"/>
          <w:lang w:val="es-MX"/>
        </w:rPr>
        <w:t>.</w:t>
      </w:r>
    </w:p>
    <w:p w14:paraId="139641F3" w14:textId="77777777" w:rsidR="004C2A5D" w:rsidRPr="006D1E13" w:rsidRDefault="004C2A5D" w:rsidP="004C2A5D">
      <w:pPr>
        <w:spacing w:line="240" w:lineRule="auto"/>
        <w:jc w:val="right"/>
        <w:rPr>
          <w:rFonts w:ascii="Gibson" w:hAnsi="Gibson" w:cstheme="minorHAnsi"/>
          <w:sz w:val="22"/>
          <w:szCs w:val="22"/>
          <w:lang w:val="es-MX"/>
        </w:rPr>
      </w:pPr>
    </w:p>
    <w:p w14:paraId="665AF551" w14:textId="77777777" w:rsidR="00D47E26" w:rsidRPr="006D1E13" w:rsidRDefault="004C2A5D" w:rsidP="004C2A5D">
      <w:pPr>
        <w:spacing w:line="240" w:lineRule="auto"/>
        <w:rPr>
          <w:rFonts w:ascii="Gibson" w:hAnsi="Gibson" w:cstheme="minorHAnsi"/>
          <w:b/>
          <w:bCs/>
          <w:sz w:val="22"/>
          <w:szCs w:val="22"/>
        </w:rPr>
      </w:pPr>
      <w:bookmarkStart w:id="0" w:name="_Hlk112753176"/>
      <w:r w:rsidRPr="006D1E13">
        <w:rPr>
          <w:rFonts w:ascii="Gibson" w:hAnsi="Gibson" w:cstheme="minorHAnsi"/>
          <w:b/>
          <w:bCs/>
          <w:sz w:val="22"/>
          <w:szCs w:val="22"/>
        </w:rPr>
        <w:t xml:space="preserve">Secretaría de Finanzas y Administración </w:t>
      </w:r>
      <w:bookmarkEnd w:id="0"/>
    </w:p>
    <w:p w14:paraId="066CBBE1" w14:textId="226DB8E5" w:rsidR="004C2A5D" w:rsidRPr="006D1E13" w:rsidRDefault="004C2A5D" w:rsidP="004C2A5D">
      <w:pPr>
        <w:spacing w:line="240" w:lineRule="auto"/>
        <w:rPr>
          <w:rFonts w:ascii="Gibson" w:hAnsi="Gibson" w:cstheme="minorHAnsi"/>
          <w:b/>
          <w:bCs/>
          <w:sz w:val="22"/>
          <w:szCs w:val="22"/>
        </w:rPr>
      </w:pPr>
      <w:r w:rsidRPr="006D1E13">
        <w:rPr>
          <w:rFonts w:ascii="Gibson" w:hAnsi="Gibson" w:cstheme="minorHAnsi"/>
          <w:b/>
          <w:bCs/>
          <w:sz w:val="22"/>
          <w:szCs w:val="22"/>
        </w:rPr>
        <w:t>del Poder Ejecutivo del Estado de Michoacán</w:t>
      </w:r>
    </w:p>
    <w:p w14:paraId="14706DD9" w14:textId="77777777" w:rsidR="004C2A5D" w:rsidRPr="004A4B41" w:rsidRDefault="004C2A5D" w:rsidP="004C2A5D">
      <w:pPr>
        <w:spacing w:line="240" w:lineRule="auto"/>
        <w:rPr>
          <w:rFonts w:ascii="Gibson" w:hAnsi="Gibson" w:cstheme="minorHAnsi"/>
          <w:b/>
          <w:sz w:val="22"/>
          <w:szCs w:val="22"/>
          <w:lang w:val="pt-BR"/>
        </w:rPr>
      </w:pPr>
      <w:r w:rsidRPr="004A4B41">
        <w:rPr>
          <w:rFonts w:ascii="Gibson" w:hAnsi="Gibson" w:cstheme="minorHAnsi"/>
          <w:b/>
          <w:sz w:val="22"/>
          <w:szCs w:val="22"/>
          <w:lang w:val="pt-BR"/>
        </w:rPr>
        <w:t>P r e s e n t e</w:t>
      </w:r>
    </w:p>
    <w:p w14:paraId="3832DFC5" w14:textId="77777777" w:rsidR="004C2A5D" w:rsidRPr="004A4B41" w:rsidRDefault="004C2A5D" w:rsidP="00DD4454">
      <w:pPr>
        <w:spacing w:line="240" w:lineRule="auto"/>
        <w:rPr>
          <w:rFonts w:ascii="Gibson" w:hAnsi="Gibson" w:cstheme="minorHAnsi"/>
          <w:sz w:val="22"/>
          <w:szCs w:val="22"/>
          <w:lang w:val="pt-BR"/>
        </w:rPr>
      </w:pPr>
    </w:p>
    <w:p w14:paraId="474AE9BD" w14:textId="77777777" w:rsidR="004B2EE0" w:rsidRDefault="004B2EE0" w:rsidP="004B2EE0">
      <w:pPr>
        <w:tabs>
          <w:tab w:val="left" w:pos="4678"/>
        </w:tabs>
        <w:spacing w:line="240" w:lineRule="auto"/>
        <w:ind w:left="3402"/>
        <w:jc w:val="left"/>
        <w:rPr>
          <w:rFonts w:ascii="Gibson" w:hAnsi="Gibson" w:cstheme="minorHAnsi"/>
          <w:sz w:val="22"/>
          <w:szCs w:val="22"/>
        </w:rPr>
      </w:pPr>
      <w:proofErr w:type="spellStart"/>
      <w:r w:rsidRPr="004A4B41">
        <w:rPr>
          <w:rFonts w:ascii="Gibson" w:hAnsi="Gibson" w:cstheme="minorHAnsi"/>
          <w:b/>
          <w:bCs/>
          <w:sz w:val="22"/>
          <w:szCs w:val="22"/>
          <w:lang w:val="pt-BR"/>
        </w:rPr>
        <w:t>Atención</w:t>
      </w:r>
      <w:proofErr w:type="spellEnd"/>
      <w:r w:rsidRPr="004A4B41">
        <w:rPr>
          <w:rFonts w:ascii="Gibson" w:hAnsi="Gibson" w:cstheme="minorHAnsi"/>
          <w:b/>
          <w:bCs/>
          <w:sz w:val="22"/>
          <w:szCs w:val="22"/>
          <w:lang w:val="pt-BR"/>
        </w:rPr>
        <w:t>:</w:t>
      </w:r>
      <w:r w:rsidRPr="004A4B41">
        <w:rPr>
          <w:rFonts w:ascii="Gibson" w:hAnsi="Gibson" w:cstheme="minorHAnsi"/>
          <w:sz w:val="22"/>
          <w:szCs w:val="22"/>
          <w:lang w:val="pt-BR"/>
        </w:rPr>
        <w:tab/>
        <w:t xml:space="preserve">Lic. </w:t>
      </w:r>
      <w:r w:rsidRPr="00F60B54">
        <w:rPr>
          <w:rFonts w:ascii="Gibson" w:hAnsi="Gibson" w:cstheme="minorHAnsi"/>
          <w:sz w:val="22"/>
          <w:szCs w:val="22"/>
        </w:rPr>
        <w:t>Luis Navarro García</w:t>
      </w:r>
      <w:r>
        <w:rPr>
          <w:rFonts w:ascii="Gibson" w:hAnsi="Gibson" w:cstheme="minorHAnsi"/>
          <w:sz w:val="22"/>
          <w:szCs w:val="22"/>
        </w:rPr>
        <w:t>.</w:t>
      </w:r>
    </w:p>
    <w:p w14:paraId="1FF5CEBB" w14:textId="77777777" w:rsidR="004B2EE0" w:rsidRPr="00F60B54" w:rsidRDefault="004B2EE0" w:rsidP="004B2EE0">
      <w:pPr>
        <w:tabs>
          <w:tab w:val="left" w:pos="4678"/>
        </w:tabs>
        <w:spacing w:line="240" w:lineRule="auto"/>
        <w:ind w:left="4678"/>
        <w:jc w:val="left"/>
        <w:rPr>
          <w:rFonts w:ascii="Gibson" w:hAnsi="Gibson" w:cstheme="minorHAnsi"/>
          <w:sz w:val="22"/>
          <w:szCs w:val="22"/>
        </w:rPr>
      </w:pPr>
      <w:r w:rsidRPr="00F60B54">
        <w:rPr>
          <w:rFonts w:ascii="Gibson" w:hAnsi="Gibson" w:cstheme="minorHAnsi"/>
          <w:sz w:val="22"/>
          <w:szCs w:val="22"/>
          <w:lang w:val="es-MX"/>
        </w:rPr>
        <w:t>Secretario de Finanzas y Administración</w:t>
      </w:r>
      <w:r>
        <w:rPr>
          <w:rFonts w:ascii="Gibson" w:hAnsi="Gibson" w:cstheme="minorHAnsi"/>
          <w:sz w:val="22"/>
          <w:szCs w:val="22"/>
          <w:lang w:val="es-MX"/>
        </w:rPr>
        <w:t>.</w:t>
      </w:r>
    </w:p>
    <w:p w14:paraId="67FB1204" w14:textId="77777777" w:rsidR="004C2A5D" w:rsidRPr="006D1E13" w:rsidRDefault="004C2A5D" w:rsidP="004B2EE0">
      <w:pPr>
        <w:spacing w:line="240" w:lineRule="auto"/>
        <w:rPr>
          <w:rFonts w:ascii="Gibson" w:hAnsi="Gibson" w:cstheme="minorHAnsi"/>
          <w:sz w:val="22"/>
          <w:szCs w:val="22"/>
          <w:lang w:val="es-MX"/>
        </w:rPr>
      </w:pPr>
    </w:p>
    <w:p w14:paraId="2CAA5769" w14:textId="0B1586AD" w:rsidR="004C2A5D" w:rsidRPr="006D1E13" w:rsidRDefault="00542778" w:rsidP="004C2A5D">
      <w:pPr>
        <w:spacing w:line="240" w:lineRule="auto"/>
        <w:ind w:firstLine="708"/>
        <w:rPr>
          <w:rFonts w:ascii="Gibson" w:hAnsi="Gibson" w:cstheme="minorHAnsi"/>
          <w:sz w:val="22"/>
          <w:szCs w:val="22"/>
          <w:lang w:val="es-MX"/>
        </w:rPr>
      </w:pPr>
      <w:r w:rsidRPr="006D1E13">
        <w:rPr>
          <w:rFonts w:ascii="Gibson" w:hAnsi="Gibson" w:cstheme="minorHAnsi"/>
          <w:sz w:val="22"/>
          <w:szCs w:val="22"/>
          <w:lang w:val="es-MX"/>
        </w:rPr>
        <w:t>[</w:t>
      </w:r>
      <w:r w:rsidR="00960E4E" w:rsidRPr="00960E4E">
        <w:rPr>
          <w:rFonts w:ascii="Gibson" w:hAnsi="Gibson" w:cstheme="minorHAnsi"/>
          <w:i/>
          <w:iCs/>
          <w:sz w:val="22"/>
          <w:szCs w:val="22"/>
          <w:lang w:val="es-MX"/>
        </w:rPr>
        <w:t xml:space="preserve">Nombre, </w:t>
      </w:r>
      <w:r w:rsidR="00DD4454">
        <w:rPr>
          <w:rFonts w:ascii="Gibson" w:eastAsia="Arial" w:hAnsi="Gibson" w:cstheme="minorHAnsi"/>
          <w:i/>
          <w:iCs/>
          <w:color w:val="000000"/>
          <w:spacing w:val="-1"/>
          <w:sz w:val="22"/>
          <w:szCs w:val="22"/>
          <w:lang w:val="es-MX"/>
        </w:rPr>
        <w:t>d</w:t>
      </w:r>
      <w:r w:rsidR="00D71488" w:rsidRPr="00960E4E">
        <w:rPr>
          <w:rFonts w:ascii="Gibson" w:eastAsia="Arial" w:hAnsi="Gibson" w:cstheme="minorHAnsi"/>
          <w:i/>
          <w:iCs/>
          <w:color w:val="000000"/>
          <w:spacing w:val="-1"/>
          <w:sz w:val="22"/>
          <w:szCs w:val="22"/>
          <w:lang w:val="es-MX"/>
        </w:rPr>
        <w:t xml:space="preserve">enominación </w:t>
      </w:r>
      <w:r w:rsidR="00960E4E" w:rsidRPr="00960E4E">
        <w:rPr>
          <w:rFonts w:ascii="Gibson" w:eastAsia="Arial" w:hAnsi="Gibson" w:cstheme="minorHAnsi"/>
          <w:i/>
          <w:iCs/>
          <w:color w:val="000000"/>
          <w:spacing w:val="-1"/>
          <w:sz w:val="22"/>
          <w:szCs w:val="22"/>
          <w:lang w:val="es-MX"/>
        </w:rPr>
        <w:t xml:space="preserve">o </w:t>
      </w:r>
      <w:r w:rsidR="00DD4454">
        <w:rPr>
          <w:rFonts w:ascii="Gibson" w:eastAsia="Arial" w:hAnsi="Gibson" w:cstheme="minorHAnsi"/>
          <w:i/>
          <w:iCs/>
          <w:color w:val="000000"/>
          <w:spacing w:val="-1"/>
          <w:sz w:val="22"/>
          <w:szCs w:val="22"/>
          <w:lang w:val="es-MX"/>
        </w:rPr>
        <w:t>r</w:t>
      </w:r>
      <w:r w:rsidR="00960E4E" w:rsidRPr="00960E4E">
        <w:rPr>
          <w:rFonts w:ascii="Gibson" w:eastAsia="Arial" w:hAnsi="Gibson" w:cstheme="minorHAnsi"/>
          <w:i/>
          <w:iCs/>
          <w:color w:val="000000"/>
          <w:spacing w:val="-1"/>
          <w:sz w:val="22"/>
          <w:szCs w:val="22"/>
          <w:lang w:val="es-MX"/>
        </w:rPr>
        <w:t xml:space="preserve">azón </w:t>
      </w:r>
      <w:r w:rsidR="00DD4454">
        <w:rPr>
          <w:rFonts w:ascii="Gibson" w:eastAsia="Arial" w:hAnsi="Gibson" w:cstheme="minorHAnsi"/>
          <w:i/>
          <w:iCs/>
          <w:color w:val="000000"/>
          <w:spacing w:val="-1"/>
          <w:sz w:val="22"/>
          <w:szCs w:val="22"/>
          <w:lang w:val="es-MX"/>
        </w:rPr>
        <w:t>s</w:t>
      </w:r>
      <w:r w:rsidR="00960E4E" w:rsidRPr="00960E4E">
        <w:rPr>
          <w:rFonts w:ascii="Gibson" w:eastAsia="Arial" w:hAnsi="Gibson" w:cstheme="minorHAnsi"/>
          <w:i/>
          <w:iCs/>
          <w:color w:val="000000"/>
          <w:spacing w:val="-1"/>
          <w:sz w:val="22"/>
          <w:szCs w:val="22"/>
          <w:lang w:val="es-MX"/>
        </w:rPr>
        <w:t>ocial del Licitante</w:t>
      </w:r>
      <w:r w:rsidRPr="006D1E13">
        <w:rPr>
          <w:rFonts w:ascii="Gibson" w:hAnsi="Gibson" w:cstheme="minorHAnsi"/>
          <w:sz w:val="22"/>
          <w:szCs w:val="22"/>
          <w:lang w:val="es-MX"/>
        </w:rPr>
        <w:t>]</w:t>
      </w:r>
      <w:r w:rsidR="004C2A5D" w:rsidRPr="006D1E13">
        <w:rPr>
          <w:rFonts w:ascii="Gibson" w:hAnsi="Gibson" w:cstheme="minorHAnsi"/>
          <w:sz w:val="22"/>
          <w:szCs w:val="22"/>
          <w:lang w:val="es-MX"/>
        </w:rPr>
        <w:t xml:space="preserve">, representada por </w:t>
      </w:r>
      <w:r w:rsidRPr="006D1E13">
        <w:rPr>
          <w:rFonts w:ascii="Gibson" w:hAnsi="Gibson" w:cstheme="minorHAnsi"/>
          <w:sz w:val="22"/>
          <w:szCs w:val="22"/>
          <w:lang w:val="es-MX"/>
        </w:rPr>
        <w:t>[</w:t>
      </w:r>
      <w:r w:rsidRPr="00542778">
        <w:rPr>
          <w:rFonts w:ascii="Gibson" w:eastAsia="Arial" w:hAnsi="Gibson" w:cstheme="minorHAnsi"/>
          <w:color w:val="000000"/>
          <w:spacing w:val="-1"/>
          <w:sz w:val="22"/>
          <w:szCs w:val="22"/>
          <w:lang w:val="es-MX"/>
        </w:rPr>
        <w:t>•</w:t>
      </w:r>
      <w:r w:rsidRPr="006D1E13">
        <w:rPr>
          <w:rFonts w:ascii="Gibson" w:hAnsi="Gibson" w:cstheme="minorHAnsi"/>
          <w:sz w:val="22"/>
          <w:szCs w:val="22"/>
          <w:lang w:val="es-MX"/>
        </w:rPr>
        <w:t>]</w:t>
      </w:r>
      <w:r w:rsidR="004C2A5D" w:rsidRPr="006D1E13">
        <w:rPr>
          <w:rFonts w:ascii="Gibson" w:hAnsi="Gibson" w:cstheme="minorHAnsi"/>
          <w:sz w:val="22"/>
          <w:szCs w:val="22"/>
          <w:lang w:val="es-MX"/>
        </w:rPr>
        <w:t>, (en adelante el “</w:t>
      </w:r>
      <w:r w:rsidR="004C2A5D" w:rsidRPr="004B2EE0">
        <w:rPr>
          <w:rFonts w:ascii="Gibson" w:hAnsi="Gibson" w:cstheme="minorHAnsi"/>
          <w:iCs/>
          <w:sz w:val="22"/>
          <w:szCs w:val="22"/>
          <w:u w:val="single"/>
          <w:lang w:val="es-MX"/>
        </w:rPr>
        <w:t>Licitante</w:t>
      </w:r>
      <w:r w:rsidR="004C2A5D" w:rsidRPr="006D1E13">
        <w:rPr>
          <w:rFonts w:ascii="Gibson" w:hAnsi="Gibson" w:cstheme="minorHAnsi"/>
          <w:sz w:val="22"/>
          <w:szCs w:val="22"/>
          <w:lang w:val="es-MX"/>
        </w:rPr>
        <w:t xml:space="preserve">”), en la Licitación Pública </w:t>
      </w:r>
      <w:r w:rsidR="004A4B41" w:rsidRPr="004A4B41">
        <w:rPr>
          <w:rFonts w:ascii="Gibson" w:hAnsi="Gibson" w:cstheme="minorHAnsi"/>
          <w:sz w:val="22"/>
          <w:szCs w:val="22"/>
          <w:lang w:val="es-MX"/>
        </w:rPr>
        <w:t>SFA-FAFEF-D682-1/2024</w:t>
      </w:r>
      <w:r w:rsidR="004C2A5D" w:rsidRPr="006D1E13">
        <w:rPr>
          <w:rFonts w:ascii="Gibson" w:hAnsi="Gibson" w:cstheme="minorHAnsi"/>
          <w:sz w:val="22"/>
          <w:szCs w:val="22"/>
          <w:lang w:val="es-MX"/>
        </w:rPr>
        <w:t xml:space="preserve">, convocada el pasado </w:t>
      </w:r>
      <w:r w:rsidR="00904A04" w:rsidRPr="006D1E13">
        <w:rPr>
          <w:rFonts w:ascii="Gibson" w:hAnsi="Gibson" w:cstheme="minorHAnsi"/>
          <w:sz w:val="22"/>
          <w:szCs w:val="22"/>
          <w:lang w:val="es-MX"/>
        </w:rPr>
        <w:t xml:space="preserve"> </w:t>
      </w:r>
      <w:r w:rsidR="002F0D8E">
        <w:rPr>
          <w:rFonts w:ascii="Gibson" w:hAnsi="Gibson" w:cstheme="minorHAnsi"/>
          <w:sz w:val="22"/>
          <w:szCs w:val="22"/>
          <w:lang w:val="es-MX"/>
        </w:rPr>
        <w:t>2</w:t>
      </w:r>
      <w:r w:rsidR="00BF628F">
        <w:rPr>
          <w:rFonts w:ascii="Gibson" w:hAnsi="Gibson" w:cstheme="minorHAnsi"/>
          <w:sz w:val="22"/>
          <w:szCs w:val="22"/>
          <w:lang w:val="es-MX"/>
        </w:rPr>
        <w:t>7</w:t>
      </w:r>
      <w:r w:rsidR="004C2A5D" w:rsidRPr="006D1E13">
        <w:rPr>
          <w:rFonts w:ascii="Gibson" w:eastAsia="Arial" w:hAnsi="Gibson" w:cstheme="minorHAnsi"/>
          <w:color w:val="000000"/>
          <w:spacing w:val="-1"/>
          <w:sz w:val="22"/>
          <w:szCs w:val="22"/>
          <w:lang w:val="es-MX"/>
        </w:rPr>
        <w:t xml:space="preserve"> </w:t>
      </w:r>
      <w:r w:rsidR="004C2A5D" w:rsidRPr="006D1E13">
        <w:rPr>
          <w:rFonts w:ascii="Gibson" w:hAnsi="Gibson" w:cstheme="minorHAnsi"/>
          <w:sz w:val="22"/>
          <w:szCs w:val="22"/>
          <w:lang w:val="es-MX"/>
        </w:rPr>
        <w:t xml:space="preserve">de </w:t>
      </w:r>
      <w:r w:rsidR="004A4B41">
        <w:rPr>
          <w:rFonts w:ascii="Gibson" w:eastAsia="Arial" w:hAnsi="Gibson" w:cstheme="minorHAnsi"/>
          <w:color w:val="000000"/>
          <w:spacing w:val="-1"/>
          <w:sz w:val="22"/>
          <w:szCs w:val="22"/>
          <w:lang w:val="es-MX"/>
        </w:rPr>
        <w:t>agosto</w:t>
      </w:r>
      <w:r w:rsidR="004C2A5D" w:rsidRPr="006D1E13">
        <w:rPr>
          <w:rFonts w:ascii="Gibson" w:eastAsia="Arial" w:hAnsi="Gibson" w:cstheme="minorHAnsi"/>
          <w:color w:val="000000"/>
          <w:spacing w:val="-1"/>
          <w:sz w:val="22"/>
          <w:szCs w:val="22"/>
          <w:lang w:val="es-MX"/>
        </w:rPr>
        <w:t xml:space="preserve"> </w:t>
      </w:r>
      <w:r w:rsidR="004C2A5D" w:rsidRPr="006D1E13">
        <w:rPr>
          <w:rFonts w:ascii="Gibson" w:hAnsi="Gibson" w:cstheme="minorHAnsi"/>
          <w:sz w:val="22"/>
          <w:szCs w:val="22"/>
          <w:lang w:val="es-MX"/>
        </w:rPr>
        <w:t>de 202</w:t>
      </w:r>
      <w:r w:rsidR="004A4B41">
        <w:rPr>
          <w:rFonts w:ascii="Gibson" w:hAnsi="Gibson" w:cstheme="minorHAnsi"/>
          <w:sz w:val="22"/>
          <w:szCs w:val="22"/>
          <w:lang w:val="es-MX"/>
        </w:rPr>
        <w:t>4</w:t>
      </w:r>
      <w:r w:rsidR="004C2A5D" w:rsidRPr="006D1E13">
        <w:rPr>
          <w:rFonts w:ascii="Gibson" w:hAnsi="Gibson" w:cstheme="minorHAnsi"/>
          <w:sz w:val="22"/>
          <w:szCs w:val="22"/>
          <w:lang w:val="es-MX"/>
        </w:rPr>
        <w:t xml:space="preserve">, </w:t>
      </w:r>
      <w:r w:rsidR="008C692B" w:rsidRPr="008C692B">
        <w:rPr>
          <w:rFonts w:ascii="Gibson" w:hAnsi="Gibson" w:cstheme="minorHAnsi"/>
          <w:sz w:val="22"/>
          <w:szCs w:val="22"/>
          <w:lang w:val="es-MX"/>
        </w:rPr>
        <w:t>el Gobierno del Estado Libre y Soberano de Michoacán de Ocampo a través del Poder Ejecutivo, y por conducto de la Secretaría de Finanzas y Administración del Gobierno del Estado de Michoacán de Ocampo</w:t>
      </w:r>
      <w:r w:rsidR="004C2A5D" w:rsidRPr="006D1E13">
        <w:rPr>
          <w:rFonts w:ascii="Gibson" w:hAnsi="Gibson" w:cstheme="minorHAnsi"/>
          <w:sz w:val="22"/>
          <w:szCs w:val="22"/>
          <w:lang w:val="es-MX"/>
        </w:rPr>
        <w:t xml:space="preserve">, presenta la siguiente Oferta de Crédito para el Financiamiento, conforme al numeral 5 de las Bases de la Licitación Pública </w:t>
      </w:r>
      <w:r w:rsidR="004A4B41" w:rsidRPr="004A4B41">
        <w:rPr>
          <w:rFonts w:ascii="Gibson" w:hAnsi="Gibson" w:cstheme="minorHAnsi"/>
          <w:sz w:val="22"/>
          <w:szCs w:val="22"/>
          <w:lang w:val="es-MX"/>
        </w:rPr>
        <w:t xml:space="preserve">SFA-FAFEF-D682-1/2024 </w:t>
      </w:r>
      <w:r w:rsidR="004C2A5D" w:rsidRPr="006D1E13">
        <w:rPr>
          <w:rFonts w:ascii="Gibson" w:hAnsi="Gibson" w:cstheme="minorHAnsi"/>
          <w:sz w:val="22"/>
          <w:szCs w:val="22"/>
          <w:lang w:val="es-MX"/>
        </w:rPr>
        <w:t>(en adelante las “</w:t>
      </w:r>
      <w:r w:rsidR="004C2A5D" w:rsidRPr="004B2EE0">
        <w:rPr>
          <w:rFonts w:ascii="Gibson" w:hAnsi="Gibson" w:cstheme="minorHAnsi"/>
          <w:iCs/>
          <w:sz w:val="22"/>
          <w:szCs w:val="22"/>
          <w:u w:val="single"/>
          <w:lang w:val="es-MX"/>
        </w:rPr>
        <w:t>Bases de la Licitación</w:t>
      </w:r>
      <w:r w:rsidR="004C2A5D" w:rsidRPr="006D1E13">
        <w:rPr>
          <w:rFonts w:ascii="Gibson" w:hAnsi="Gibson" w:cstheme="minorHAnsi"/>
          <w:sz w:val="22"/>
          <w:szCs w:val="22"/>
          <w:lang w:val="es-MX"/>
        </w:rPr>
        <w:t>”).</w:t>
      </w:r>
    </w:p>
    <w:p w14:paraId="1DE83016" w14:textId="77777777" w:rsidR="004C2A5D" w:rsidRPr="006D1E13" w:rsidRDefault="004C2A5D" w:rsidP="004C2A5D">
      <w:pPr>
        <w:spacing w:line="240" w:lineRule="auto"/>
        <w:ind w:firstLine="708"/>
        <w:rPr>
          <w:rFonts w:ascii="Gibson" w:hAnsi="Gibson" w:cstheme="minorHAnsi"/>
          <w:sz w:val="22"/>
          <w:szCs w:val="22"/>
          <w:lang w:val="es-MX"/>
        </w:rPr>
      </w:pPr>
    </w:p>
    <w:p w14:paraId="6F8986C5" w14:textId="7DCB825D" w:rsidR="004C2A5D" w:rsidRPr="006D1E13" w:rsidRDefault="004C2A5D" w:rsidP="004C2A5D">
      <w:pPr>
        <w:spacing w:line="240" w:lineRule="auto"/>
        <w:ind w:firstLine="708"/>
        <w:rPr>
          <w:rFonts w:ascii="Gibson" w:hAnsi="Gibson" w:cstheme="minorHAnsi"/>
          <w:sz w:val="22"/>
          <w:szCs w:val="22"/>
          <w:lang w:val="es-MX"/>
        </w:rPr>
      </w:pPr>
      <w:r w:rsidRPr="006D1E13">
        <w:rPr>
          <w:rFonts w:ascii="Gibson" w:hAnsi="Gibson" w:cstheme="minorHAnsi"/>
          <w:sz w:val="22"/>
          <w:szCs w:val="22"/>
          <w:lang w:val="es-MX"/>
        </w:rPr>
        <w:t>Los términos en mayúscula inicial que no se encuentren expresamente definidos en la presente tendrán el significado que se les atribuye en las Bases de la Licitación (incluyendo</w:t>
      </w:r>
      <w:r w:rsidR="00D47E26" w:rsidRPr="006D1E13">
        <w:rPr>
          <w:rFonts w:ascii="Gibson" w:hAnsi="Gibson" w:cstheme="minorHAnsi"/>
          <w:sz w:val="22"/>
          <w:szCs w:val="22"/>
          <w:lang w:val="es-MX"/>
        </w:rPr>
        <w:t>, en su caso,</w:t>
      </w:r>
      <w:r w:rsidRPr="006D1E13">
        <w:rPr>
          <w:rFonts w:ascii="Gibson" w:hAnsi="Gibson" w:cstheme="minorHAnsi"/>
          <w:sz w:val="22"/>
          <w:szCs w:val="22"/>
          <w:lang w:val="es-MX"/>
        </w:rPr>
        <w:t xml:space="preserve"> sus modificaciones), expedidas por la Secretaría.</w:t>
      </w:r>
    </w:p>
    <w:p w14:paraId="0A04180D" w14:textId="77777777" w:rsidR="004C2A5D" w:rsidRPr="006D1E13" w:rsidRDefault="004C2A5D" w:rsidP="004C2A5D">
      <w:pPr>
        <w:spacing w:line="240" w:lineRule="auto"/>
        <w:ind w:firstLine="708"/>
        <w:rPr>
          <w:rFonts w:ascii="Gibson" w:hAnsi="Gibson" w:cstheme="minorHAnsi"/>
          <w:sz w:val="22"/>
          <w:szCs w:val="22"/>
          <w:lang w:val="es-MX"/>
        </w:rPr>
      </w:pPr>
    </w:p>
    <w:p w14:paraId="5A1B4E2A" w14:textId="79A342B6" w:rsidR="004C2A5D" w:rsidRPr="006D1E13" w:rsidRDefault="004C2A5D" w:rsidP="004C2A5D">
      <w:pPr>
        <w:spacing w:line="240" w:lineRule="auto"/>
        <w:ind w:firstLine="708"/>
        <w:rPr>
          <w:rFonts w:ascii="Gibson" w:hAnsi="Gibson" w:cstheme="minorHAnsi"/>
          <w:sz w:val="22"/>
          <w:szCs w:val="22"/>
          <w:lang w:val="es-MX"/>
        </w:rPr>
      </w:pPr>
      <w:r w:rsidRPr="006D1E13">
        <w:rPr>
          <w:rFonts w:ascii="Gibson" w:hAnsi="Gibson" w:cstheme="minorHAnsi"/>
          <w:sz w:val="22"/>
          <w:szCs w:val="22"/>
          <w:lang w:val="es-MX"/>
        </w:rPr>
        <w:t>El Licitante manifiesta que la presente Oferta de Crédito constituye una oferta en firme, vinculante e irrevocable, con una vigencia de 60 (sesenta)</w:t>
      </w:r>
      <w:r w:rsidRPr="006D1E13">
        <w:rPr>
          <w:rStyle w:val="Refdenotaalpie"/>
          <w:rFonts w:ascii="Gibson" w:hAnsi="Gibson" w:cstheme="minorHAnsi"/>
          <w:sz w:val="22"/>
          <w:szCs w:val="22"/>
          <w:lang w:val="es-MX"/>
        </w:rPr>
        <w:footnoteReference w:id="1"/>
      </w:r>
      <w:r w:rsidRPr="006D1E13">
        <w:rPr>
          <w:rFonts w:ascii="Gibson" w:hAnsi="Gibson" w:cstheme="minorHAnsi"/>
          <w:sz w:val="22"/>
          <w:szCs w:val="22"/>
          <w:lang w:val="es-MX"/>
        </w:rPr>
        <w:t xml:space="preserve"> </w:t>
      </w:r>
      <w:r w:rsidR="00873EC8">
        <w:rPr>
          <w:rFonts w:ascii="Gibson" w:hAnsi="Gibson" w:cstheme="minorHAnsi"/>
          <w:sz w:val="22"/>
          <w:szCs w:val="22"/>
          <w:lang w:val="es-MX"/>
        </w:rPr>
        <w:t>d</w:t>
      </w:r>
      <w:r w:rsidRPr="006D1E13">
        <w:rPr>
          <w:rFonts w:ascii="Gibson" w:hAnsi="Gibson" w:cstheme="minorHAnsi"/>
          <w:sz w:val="22"/>
          <w:szCs w:val="22"/>
          <w:lang w:val="es-MX"/>
        </w:rPr>
        <w:t>ías</w:t>
      </w:r>
      <w:r w:rsidR="00873EC8">
        <w:rPr>
          <w:rFonts w:ascii="Gibson" w:hAnsi="Gibson" w:cstheme="minorHAnsi"/>
          <w:sz w:val="22"/>
          <w:szCs w:val="22"/>
          <w:lang w:val="es-MX"/>
        </w:rPr>
        <w:t xml:space="preserve"> naturales</w:t>
      </w:r>
      <w:r w:rsidRPr="006D1E13">
        <w:rPr>
          <w:rFonts w:ascii="Gibson" w:hAnsi="Gibson" w:cstheme="minorHAnsi"/>
          <w:sz w:val="22"/>
          <w:szCs w:val="22"/>
          <w:lang w:val="es-MX"/>
        </w:rPr>
        <w:t xml:space="preserve">, contados a partir </w:t>
      </w:r>
      <w:r w:rsidRPr="006D1E13">
        <w:rPr>
          <w:rFonts w:ascii="Gibson" w:hAnsi="Gibson" w:cstheme="minorHAnsi"/>
          <w:iCs/>
          <w:sz w:val="22"/>
          <w:szCs w:val="22"/>
          <w:lang w:val="es-MX"/>
        </w:rPr>
        <w:t xml:space="preserve">su </w:t>
      </w:r>
      <w:r w:rsidR="00960E4E">
        <w:rPr>
          <w:rFonts w:ascii="Gibson" w:hAnsi="Gibson" w:cstheme="minorHAnsi"/>
          <w:iCs/>
          <w:sz w:val="22"/>
          <w:szCs w:val="22"/>
          <w:lang w:val="es-MX"/>
        </w:rPr>
        <w:t xml:space="preserve">entrega </w:t>
      </w:r>
      <w:r w:rsidRPr="006D1E13">
        <w:rPr>
          <w:rFonts w:ascii="Gibson" w:hAnsi="Gibson" w:cstheme="minorHAnsi"/>
          <w:iCs/>
          <w:sz w:val="22"/>
          <w:szCs w:val="22"/>
          <w:lang w:val="es-MX"/>
        </w:rPr>
        <w:t>en el Acto de Presentación y Apertura de Ofertas</w:t>
      </w:r>
      <w:r w:rsidRPr="006D1E13">
        <w:rPr>
          <w:rFonts w:ascii="Gibson" w:hAnsi="Gibson" w:cstheme="minorHAnsi"/>
          <w:sz w:val="22"/>
          <w:szCs w:val="22"/>
          <w:lang w:val="es-MX"/>
        </w:rPr>
        <w:t>, bajo las siguientes condiciones:</w:t>
      </w:r>
    </w:p>
    <w:p w14:paraId="649277DF" w14:textId="77777777" w:rsidR="004C2A5D" w:rsidRPr="006D1E13" w:rsidRDefault="004C2A5D" w:rsidP="004C2A5D">
      <w:pPr>
        <w:spacing w:line="240" w:lineRule="auto"/>
        <w:rPr>
          <w:rFonts w:ascii="Gibson" w:hAnsi="Gibson" w:cstheme="minorHAnsi"/>
          <w:sz w:val="22"/>
          <w:szCs w:val="22"/>
          <w:lang w:val="es-MX"/>
        </w:rPr>
      </w:pPr>
    </w:p>
    <w:tbl>
      <w:tblPr>
        <w:tblStyle w:val="Tablaconcuadrcula"/>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969"/>
        <w:gridCol w:w="4864"/>
      </w:tblGrid>
      <w:tr w:rsidR="004C2A5D" w:rsidRPr="006D1E13" w14:paraId="50FEB25E" w14:textId="77777777" w:rsidTr="008F2E89">
        <w:tc>
          <w:tcPr>
            <w:tcW w:w="3969" w:type="dxa"/>
            <w:tcBorders>
              <w:top w:val="single" w:sz="4" w:space="0" w:color="auto"/>
              <w:left w:val="single" w:sz="4" w:space="0" w:color="auto"/>
              <w:bottom w:val="single" w:sz="4" w:space="0" w:color="auto"/>
              <w:right w:val="single" w:sz="4" w:space="0" w:color="auto"/>
            </w:tcBorders>
            <w:vAlign w:val="center"/>
            <w:hideMark/>
          </w:tcPr>
          <w:p w14:paraId="620DA550" w14:textId="146C50D0" w:rsidR="004C2A5D" w:rsidRPr="006D1E13" w:rsidRDefault="004C2A5D" w:rsidP="002E788A">
            <w:pPr>
              <w:spacing w:line="240" w:lineRule="auto"/>
              <w:rPr>
                <w:rFonts w:ascii="Gibson" w:hAnsi="Gibson" w:cstheme="minorHAnsi"/>
                <w:b/>
                <w:sz w:val="22"/>
                <w:szCs w:val="22"/>
                <w:lang w:val="es-MX"/>
              </w:rPr>
            </w:pPr>
            <w:r w:rsidRPr="006D1E13">
              <w:rPr>
                <w:rFonts w:ascii="Gibson" w:hAnsi="Gibson" w:cstheme="minorHAnsi"/>
                <w:b/>
                <w:sz w:val="22"/>
                <w:szCs w:val="22"/>
                <w:lang w:val="es-MX"/>
              </w:rPr>
              <w:t>Monto de la Oferta de Crédito:</w:t>
            </w:r>
          </w:p>
        </w:tc>
        <w:tc>
          <w:tcPr>
            <w:tcW w:w="4864" w:type="dxa"/>
            <w:tcBorders>
              <w:top w:val="single" w:sz="4" w:space="0" w:color="auto"/>
              <w:left w:val="single" w:sz="4" w:space="0" w:color="auto"/>
              <w:bottom w:val="single" w:sz="4" w:space="0" w:color="auto"/>
              <w:right w:val="single" w:sz="4" w:space="0" w:color="auto"/>
            </w:tcBorders>
            <w:vAlign w:val="center"/>
            <w:hideMark/>
          </w:tcPr>
          <w:p w14:paraId="4E3B92CD" w14:textId="77777777" w:rsidR="004C2A5D" w:rsidRDefault="003C479C" w:rsidP="002E788A">
            <w:pPr>
              <w:spacing w:line="240" w:lineRule="auto"/>
              <w:rPr>
                <w:rFonts w:ascii="Gibson" w:hAnsi="Gibson" w:cstheme="minorHAnsi"/>
                <w:sz w:val="22"/>
                <w:szCs w:val="22"/>
                <w:lang w:val="es-MX"/>
              </w:rPr>
            </w:pPr>
            <w:r>
              <w:rPr>
                <w:rFonts w:ascii="Gibson" w:hAnsi="Gibson" w:cstheme="minorHAnsi"/>
                <w:sz w:val="22"/>
                <w:szCs w:val="22"/>
                <w:lang w:val="es-MX"/>
              </w:rPr>
              <w:t xml:space="preserve">Hasta </w:t>
            </w:r>
            <w:r w:rsidR="004C2A5D" w:rsidRPr="00D71488">
              <w:rPr>
                <w:rFonts w:ascii="Gibson" w:hAnsi="Gibson" w:cstheme="minorHAnsi"/>
                <w:sz w:val="22"/>
                <w:szCs w:val="22"/>
                <w:lang w:val="es-MX"/>
              </w:rPr>
              <w:t>$</w:t>
            </w:r>
            <w:r w:rsidR="00E43515">
              <w:rPr>
                <w:rFonts w:ascii="Gibson" w:hAnsi="Gibson" w:cstheme="minorHAnsi"/>
                <w:sz w:val="22"/>
                <w:szCs w:val="22"/>
                <w:lang w:val="es-MX"/>
              </w:rPr>
              <w:t xml:space="preserve">1,700,000,000.00 (mil setecientos millones de </w:t>
            </w:r>
            <w:r w:rsidR="004C2A5D" w:rsidRPr="00D71488">
              <w:rPr>
                <w:rFonts w:ascii="Gibson" w:hAnsi="Gibson" w:cstheme="minorHAnsi"/>
                <w:sz w:val="22"/>
                <w:szCs w:val="22"/>
                <w:lang w:val="es-MX"/>
              </w:rPr>
              <w:t>pesos 00/100 M.N.).</w:t>
            </w:r>
          </w:p>
          <w:p w14:paraId="48001109" w14:textId="77777777" w:rsidR="003C479C" w:rsidRDefault="003C479C" w:rsidP="002E788A">
            <w:pPr>
              <w:spacing w:line="240" w:lineRule="auto"/>
              <w:rPr>
                <w:rFonts w:ascii="Gibson" w:hAnsi="Gibson" w:cstheme="minorHAnsi"/>
                <w:sz w:val="22"/>
                <w:szCs w:val="22"/>
                <w:lang w:val="es-MX"/>
              </w:rPr>
            </w:pPr>
          </w:p>
          <w:p w14:paraId="1F51828D" w14:textId="3B0DA228" w:rsidR="003C479C" w:rsidRDefault="003C479C" w:rsidP="002E788A">
            <w:pPr>
              <w:spacing w:line="240" w:lineRule="auto"/>
              <w:rPr>
                <w:rFonts w:ascii="Gibson" w:hAnsi="Gibson" w:cstheme="minorHAnsi"/>
                <w:sz w:val="22"/>
                <w:szCs w:val="22"/>
                <w:lang w:val="es-MX"/>
              </w:rPr>
            </w:pPr>
            <w:r>
              <w:rPr>
                <w:rFonts w:ascii="Gibson" w:hAnsi="Gibson" w:cstheme="minorHAnsi"/>
                <w:sz w:val="22"/>
                <w:szCs w:val="22"/>
                <w:lang w:val="es-MX"/>
              </w:rPr>
              <w:t xml:space="preserve">En el entendido que </w:t>
            </w:r>
            <w:r w:rsidRPr="003C479C">
              <w:rPr>
                <w:rFonts w:ascii="Gibson" w:hAnsi="Gibson" w:cstheme="minorHAnsi"/>
                <w:sz w:val="22"/>
                <w:szCs w:val="22"/>
                <w:lang w:val="es-MX"/>
              </w:rPr>
              <w:t>el monto a formalizarse y/o a desembolsar podrá ser menor en función del plazo remanente del Financiamiento considerando la fecha de formalización y/o disposición de recursos y la fecha máxima de vencimiento, así como la suficiencia del Porcentaje de FAFEF que se tenga al momento.</w:t>
            </w:r>
          </w:p>
          <w:p w14:paraId="3F1EEC79" w14:textId="77777777" w:rsidR="003C479C" w:rsidRDefault="003C479C" w:rsidP="002E788A">
            <w:pPr>
              <w:spacing w:line="240" w:lineRule="auto"/>
              <w:rPr>
                <w:rFonts w:ascii="Gibson" w:hAnsi="Gibson" w:cstheme="minorHAnsi"/>
                <w:sz w:val="22"/>
                <w:szCs w:val="22"/>
                <w:lang w:val="es-MX"/>
              </w:rPr>
            </w:pPr>
          </w:p>
          <w:p w14:paraId="408BDF34" w14:textId="36A4522B" w:rsidR="003C479C" w:rsidRPr="006D1E13" w:rsidRDefault="003C479C" w:rsidP="002E788A">
            <w:pPr>
              <w:spacing w:line="240" w:lineRule="auto"/>
              <w:rPr>
                <w:rFonts w:ascii="Gibson" w:hAnsi="Gibson" w:cstheme="minorHAnsi"/>
                <w:sz w:val="22"/>
                <w:szCs w:val="22"/>
                <w:lang w:val="es-MX"/>
              </w:rPr>
            </w:pPr>
            <w:r>
              <w:rPr>
                <w:rFonts w:ascii="Gibson" w:hAnsi="Gibson" w:cstheme="minorHAnsi"/>
                <w:sz w:val="22"/>
                <w:szCs w:val="22"/>
                <w:lang w:val="es-MX"/>
              </w:rPr>
              <w:t>Para la disposición se validará y confirmará la suficiencia de la fuente de pago en función del monto, plazo y tasa de interés aplicable del Crédito.</w:t>
            </w:r>
          </w:p>
        </w:tc>
      </w:tr>
      <w:tr w:rsidR="004C2A5D" w:rsidRPr="006D1E13" w14:paraId="35A6170C" w14:textId="77777777" w:rsidTr="008F2E89">
        <w:tc>
          <w:tcPr>
            <w:tcW w:w="3969" w:type="dxa"/>
            <w:tcBorders>
              <w:top w:val="single" w:sz="4" w:space="0" w:color="auto"/>
              <w:left w:val="single" w:sz="4" w:space="0" w:color="auto"/>
              <w:bottom w:val="single" w:sz="4" w:space="0" w:color="auto"/>
              <w:right w:val="single" w:sz="4" w:space="0" w:color="auto"/>
            </w:tcBorders>
            <w:vAlign w:val="center"/>
            <w:hideMark/>
          </w:tcPr>
          <w:p w14:paraId="560DB03D" w14:textId="6E7AD8F7" w:rsidR="004C2A5D" w:rsidRPr="006D1E13" w:rsidRDefault="003F7EFD" w:rsidP="002E788A">
            <w:pPr>
              <w:spacing w:line="240" w:lineRule="auto"/>
              <w:jc w:val="left"/>
              <w:rPr>
                <w:rFonts w:ascii="Gibson" w:hAnsi="Gibson" w:cstheme="minorHAnsi"/>
                <w:b/>
                <w:sz w:val="22"/>
                <w:szCs w:val="22"/>
                <w:lang w:val="es-MX"/>
              </w:rPr>
            </w:pPr>
            <w:r>
              <w:rPr>
                <w:rFonts w:ascii="Gibson" w:hAnsi="Gibson" w:cstheme="minorHAnsi"/>
                <w:b/>
                <w:sz w:val="22"/>
                <w:szCs w:val="22"/>
                <w:lang w:val="es-MX"/>
              </w:rPr>
              <w:lastRenderedPageBreak/>
              <w:t xml:space="preserve">Margen o </w:t>
            </w:r>
            <w:r w:rsidR="00D71488">
              <w:rPr>
                <w:rFonts w:ascii="Gibson" w:hAnsi="Gibson" w:cstheme="minorHAnsi"/>
                <w:b/>
                <w:sz w:val="22"/>
                <w:szCs w:val="22"/>
                <w:lang w:val="es-MX"/>
              </w:rPr>
              <w:t>Sobretasa a</w:t>
            </w:r>
            <w:r w:rsidR="004C2A5D" w:rsidRPr="006D1E13">
              <w:rPr>
                <w:rFonts w:ascii="Gibson" w:hAnsi="Gibson" w:cstheme="minorHAnsi"/>
                <w:b/>
                <w:sz w:val="22"/>
                <w:szCs w:val="22"/>
                <w:lang w:val="es-MX"/>
              </w:rPr>
              <w:t>plicable al nivel de Calificación Preliminar en escala nacional de [</w:t>
            </w:r>
            <w:r w:rsidR="00DF5546" w:rsidRPr="00DF5546">
              <w:rPr>
                <w:rFonts w:ascii="Gibson" w:eastAsia="Arial" w:hAnsi="Gibson" w:cstheme="minorHAnsi"/>
                <w:b/>
                <w:bCs/>
                <w:color w:val="000000"/>
                <w:spacing w:val="-1"/>
                <w:sz w:val="22"/>
                <w:szCs w:val="22"/>
                <w:lang w:val="es-MX"/>
              </w:rPr>
              <w:t>•</w:t>
            </w:r>
            <w:r w:rsidR="004C2A5D" w:rsidRPr="006D1E13">
              <w:rPr>
                <w:rFonts w:ascii="Gibson" w:hAnsi="Gibson" w:cstheme="minorHAnsi"/>
                <w:b/>
                <w:sz w:val="22"/>
                <w:szCs w:val="22"/>
                <w:lang w:val="es-MX"/>
              </w:rPr>
              <w:t>], o su equivalente</w:t>
            </w:r>
            <w:r w:rsidR="00960E4E">
              <w:rPr>
                <w:rStyle w:val="Refdenotaalpie"/>
                <w:rFonts w:ascii="Gibson" w:hAnsi="Gibson" w:cstheme="minorHAnsi"/>
                <w:b/>
                <w:sz w:val="22"/>
                <w:szCs w:val="22"/>
                <w:lang w:val="es-MX"/>
              </w:rPr>
              <w:footnoteReference w:id="2"/>
            </w:r>
            <w:r w:rsidR="00DF5546">
              <w:rPr>
                <w:rFonts w:ascii="Gibson" w:hAnsi="Gibson" w:cstheme="minorHAnsi"/>
                <w:b/>
                <w:sz w:val="22"/>
                <w:szCs w:val="22"/>
                <w:lang w:val="es-MX"/>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662F0A2C" w14:textId="5443EF5D" w:rsidR="004C2A5D" w:rsidRPr="006D1E13" w:rsidRDefault="00542778" w:rsidP="002E788A">
            <w:pPr>
              <w:tabs>
                <w:tab w:val="left" w:pos="870"/>
              </w:tabs>
              <w:spacing w:line="240" w:lineRule="auto"/>
              <w:rPr>
                <w:rFonts w:ascii="Gibson" w:hAnsi="Gibson" w:cstheme="minorHAnsi"/>
                <w:sz w:val="22"/>
                <w:szCs w:val="22"/>
                <w:lang w:val="es-MX"/>
              </w:rPr>
            </w:pPr>
            <w:r w:rsidRPr="006D1E13">
              <w:rPr>
                <w:rFonts w:ascii="Gibson" w:hAnsi="Gibson" w:cstheme="minorHAnsi"/>
                <w:sz w:val="22"/>
                <w:szCs w:val="22"/>
                <w:lang w:val="es-MX"/>
              </w:rPr>
              <w:t>[</w:t>
            </w:r>
            <w:r w:rsidRPr="00542778">
              <w:rPr>
                <w:rFonts w:ascii="Gibson" w:eastAsia="Arial" w:hAnsi="Gibson" w:cstheme="minorHAnsi"/>
                <w:color w:val="000000"/>
                <w:spacing w:val="-1"/>
                <w:sz w:val="22"/>
                <w:szCs w:val="22"/>
                <w:lang w:val="es-MX"/>
              </w:rPr>
              <w:t>•</w:t>
            </w:r>
            <w:r w:rsidRPr="006D1E13">
              <w:rPr>
                <w:rFonts w:ascii="Gibson" w:hAnsi="Gibson" w:cstheme="minorHAnsi"/>
                <w:sz w:val="22"/>
                <w:szCs w:val="22"/>
                <w:lang w:val="es-MX"/>
              </w:rPr>
              <w:t>]</w:t>
            </w:r>
            <w:r w:rsidR="00960E4E">
              <w:rPr>
                <w:rFonts w:ascii="Gibson" w:hAnsi="Gibson" w:cstheme="minorHAnsi"/>
                <w:sz w:val="22"/>
                <w:szCs w:val="22"/>
                <w:lang w:val="es-MX"/>
              </w:rPr>
              <w:t xml:space="preserve"> </w:t>
            </w:r>
            <w:r w:rsidR="008F2E89" w:rsidRPr="006D1E13">
              <w:rPr>
                <w:rFonts w:ascii="Gibson" w:hAnsi="Gibson" w:cstheme="minorHAnsi"/>
                <w:sz w:val="22"/>
                <w:szCs w:val="22"/>
                <w:lang w:val="es-MX"/>
              </w:rPr>
              <w:t>(</w:t>
            </w:r>
            <w:r w:rsidRPr="006D1E13">
              <w:rPr>
                <w:rFonts w:ascii="Gibson" w:hAnsi="Gibson" w:cstheme="minorHAnsi"/>
                <w:sz w:val="22"/>
                <w:szCs w:val="22"/>
                <w:lang w:val="es-MX"/>
              </w:rPr>
              <w:t>[</w:t>
            </w:r>
            <w:r w:rsidRPr="00542778">
              <w:rPr>
                <w:rFonts w:ascii="Gibson" w:eastAsia="Arial" w:hAnsi="Gibson" w:cstheme="minorHAnsi"/>
                <w:color w:val="000000"/>
                <w:spacing w:val="-1"/>
                <w:sz w:val="22"/>
                <w:szCs w:val="22"/>
                <w:lang w:val="es-MX"/>
              </w:rPr>
              <w:t>•</w:t>
            </w:r>
            <w:r w:rsidRPr="006D1E13">
              <w:rPr>
                <w:rFonts w:ascii="Gibson" w:hAnsi="Gibson" w:cstheme="minorHAnsi"/>
                <w:sz w:val="22"/>
                <w:szCs w:val="22"/>
                <w:lang w:val="es-MX"/>
              </w:rPr>
              <w:t>]</w:t>
            </w:r>
            <w:r w:rsidR="008F2E89" w:rsidRPr="006D1E13">
              <w:rPr>
                <w:rFonts w:ascii="Gibson" w:hAnsi="Gibson" w:cstheme="minorHAnsi"/>
                <w:sz w:val="22"/>
                <w:szCs w:val="22"/>
                <w:lang w:val="es-MX"/>
              </w:rPr>
              <w:t xml:space="preserve"> p</w:t>
            </w:r>
            <w:r w:rsidR="004C25E8" w:rsidRPr="006D1E13">
              <w:rPr>
                <w:rFonts w:ascii="Gibson" w:hAnsi="Gibson" w:cstheme="minorHAnsi"/>
                <w:sz w:val="22"/>
                <w:szCs w:val="22"/>
                <w:lang w:val="es-MX"/>
              </w:rPr>
              <w:t>untos porcentuales</w:t>
            </w:r>
            <w:r w:rsidR="008F2E89" w:rsidRPr="006D1E13">
              <w:rPr>
                <w:rFonts w:ascii="Gibson" w:hAnsi="Gibson" w:cstheme="minorHAnsi"/>
                <w:sz w:val="22"/>
                <w:szCs w:val="22"/>
                <w:lang w:val="es-MX"/>
              </w:rPr>
              <w:t>).</w:t>
            </w:r>
          </w:p>
        </w:tc>
      </w:tr>
      <w:tr w:rsidR="002F3F9B" w:rsidRPr="006D1E13" w14:paraId="5EF0349D" w14:textId="77777777" w:rsidTr="008F2E89">
        <w:tc>
          <w:tcPr>
            <w:tcW w:w="3969" w:type="dxa"/>
            <w:tcBorders>
              <w:top w:val="single" w:sz="4" w:space="0" w:color="auto"/>
              <w:left w:val="single" w:sz="4" w:space="0" w:color="auto"/>
              <w:bottom w:val="single" w:sz="4" w:space="0" w:color="auto"/>
              <w:right w:val="single" w:sz="4" w:space="0" w:color="auto"/>
            </w:tcBorders>
            <w:vAlign w:val="center"/>
          </w:tcPr>
          <w:p w14:paraId="381E20EF" w14:textId="0083ACF1" w:rsidR="002F3F9B" w:rsidRDefault="002F3F9B" w:rsidP="002E788A">
            <w:pPr>
              <w:spacing w:line="240" w:lineRule="auto"/>
              <w:jc w:val="left"/>
              <w:rPr>
                <w:rFonts w:ascii="Gibson" w:hAnsi="Gibson" w:cstheme="minorHAnsi"/>
                <w:b/>
                <w:sz w:val="22"/>
                <w:szCs w:val="22"/>
                <w:lang w:val="es-MX"/>
              </w:rPr>
            </w:pPr>
            <w:r>
              <w:rPr>
                <w:rFonts w:ascii="Gibson" w:hAnsi="Gibson" w:cstheme="minorHAnsi"/>
                <w:b/>
                <w:sz w:val="22"/>
                <w:szCs w:val="22"/>
                <w:lang w:val="es-MX"/>
              </w:rPr>
              <w:t>Tasa de Interés Moratoria:</w:t>
            </w:r>
          </w:p>
        </w:tc>
        <w:tc>
          <w:tcPr>
            <w:tcW w:w="4864" w:type="dxa"/>
            <w:tcBorders>
              <w:top w:val="single" w:sz="4" w:space="0" w:color="auto"/>
              <w:left w:val="single" w:sz="4" w:space="0" w:color="auto"/>
              <w:bottom w:val="single" w:sz="4" w:space="0" w:color="auto"/>
              <w:right w:val="single" w:sz="4" w:space="0" w:color="auto"/>
            </w:tcBorders>
            <w:vAlign w:val="center"/>
          </w:tcPr>
          <w:p w14:paraId="76E233F5" w14:textId="547FD11D" w:rsidR="002F3F9B" w:rsidRPr="006D1E13" w:rsidRDefault="00F1229B" w:rsidP="002E788A">
            <w:pPr>
              <w:tabs>
                <w:tab w:val="left" w:pos="870"/>
              </w:tabs>
              <w:spacing w:line="240" w:lineRule="auto"/>
              <w:rPr>
                <w:rFonts w:ascii="Gibson" w:hAnsi="Gibson" w:cstheme="minorHAnsi"/>
                <w:sz w:val="22"/>
                <w:szCs w:val="22"/>
                <w:lang w:val="es-MX"/>
              </w:rPr>
            </w:pPr>
            <w:r>
              <w:rPr>
                <w:rFonts w:ascii="Gibson" w:eastAsia="Arial" w:hAnsi="Gibson" w:cstheme="minorHAnsi"/>
                <w:color w:val="000000"/>
                <w:spacing w:val="-1"/>
                <w:sz w:val="22"/>
                <w:szCs w:val="22"/>
                <w:lang w:val="es-MX"/>
              </w:rPr>
              <w:t>L</w:t>
            </w:r>
            <w:r w:rsidRPr="00F1229B">
              <w:rPr>
                <w:rFonts w:ascii="Gibson" w:eastAsia="Arial" w:hAnsi="Gibson" w:cstheme="minorHAnsi"/>
                <w:color w:val="000000"/>
                <w:spacing w:val="-1"/>
                <w:sz w:val="22"/>
                <w:szCs w:val="22"/>
                <w:lang w:val="es-MX"/>
              </w:rPr>
              <w:t>a Tasa de Interés que resulte de multiplicar por 1.5 (uno punto cinco) la Tasa de Interés Aplicable que corresponda.</w:t>
            </w:r>
          </w:p>
        </w:tc>
      </w:tr>
    </w:tbl>
    <w:p w14:paraId="07C88FD5" w14:textId="77777777" w:rsidR="004C2A5D" w:rsidRPr="006D1E13" w:rsidRDefault="004C2A5D" w:rsidP="004C2A5D">
      <w:pPr>
        <w:spacing w:line="240" w:lineRule="auto"/>
        <w:rPr>
          <w:rFonts w:ascii="Gibson" w:hAnsi="Gibson" w:cstheme="minorHAnsi"/>
          <w:sz w:val="22"/>
          <w:szCs w:val="22"/>
          <w:lang w:val="es-MX"/>
        </w:rPr>
      </w:pPr>
    </w:p>
    <w:p w14:paraId="34428BC9" w14:textId="3D972138" w:rsidR="004C2A5D" w:rsidRPr="006D1E13" w:rsidRDefault="004C2A5D" w:rsidP="004C2A5D">
      <w:pPr>
        <w:autoSpaceDE w:val="0"/>
        <w:autoSpaceDN w:val="0"/>
        <w:adjustRightInd w:val="0"/>
        <w:spacing w:line="240" w:lineRule="auto"/>
        <w:rPr>
          <w:rFonts w:ascii="Gibson" w:hAnsi="Gibson" w:cstheme="minorHAnsi"/>
          <w:spacing w:val="0"/>
          <w:sz w:val="22"/>
          <w:szCs w:val="22"/>
          <w:lang w:val="es-MX"/>
        </w:rPr>
      </w:pPr>
      <w:r w:rsidRPr="006D1E13">
        <w:rPr>
          <w:rFonts w:ascii="Gibson" w:hAnsi="Gibson" w:cstheme="minorHAnsi"/>
          <w:spacing w:val="0"/>
          <w:sz w:val="22"/>
          <w:szCs w:val="22"/>
          <w:lang w:val="es-MX"/>
        </w:rPr>
        <w:t xml:space="preserve">A continuación, se detalla la tabla de </w:t>
      </w:r>
      <w:r w:rsidR="00501907">
        <w:rPr>
          <w:rFonts w:ascii="Gibson" w:hAnsi="Gibson" w:cstheme="minorHAnsi"/>
          <w:spacing w:val="0"/>
          <w:sz w:val="22"/>
          <w:szCs w:val="22"/>
          <w:lang w:val="es-MX"/>
        </w:rPr>
        <w:t>Sobretasa</w:t>
      </w:r>
      <w:r w:rsidR="00BE1035">
        <w:rPr>
          <w:rFonts w:ascii="Gibson" w:hAnsi="Gibson" w:cstheme="minorHAnsi"/>
          <w:spacing w:val="0"/>
          <w:sz w:val="22"/>
          <w:szCs w:val="22"/>
          <w:lang w:val="es-MX"/>
        </w:rPr>
        <w:t>s</w:t>
      </w:r>
      <w:r w:rsidR="00501907">
        <w:rPr>
          <w:rFonts w:ascii="Gibson" w:hAnsi="Gibson" w:cstheme="minorHAnsi"/>
          <w:spacing w:val="0"/>
          <w:sz w:val="22"/>
          <w:szCs w:val="22"/>
          <w:lang w:val="es-MX"/>
        </w:rPr>
        <w:t xml:space="preserve"> a</w:t>
      </w:r>
      <w:r w:rsidRPr="006D1E13">
        <w:rPr>
          <w:rFonts w:ascii="Gibson" w:hAnsi="Gibson" w:cstheme="minorHAnsi"/>
          <w:spacing w:val="0"/>
          <w:sz w:val="22"/>
          <w:szCs w:val="22"/>
          <w:lang w:val="es-MX"/>
        </w:rPr>
        <w:t>plicable</w:t>
      </w:r>
      <w:r w:rsidR="00BE1035">
        <w:rPr>
          <w:rFonts w:ascii="Gibson" w:hAnsi="Gibson" w:cstheme="minorHAnsi"/>
          <w:spacing w:val="0"/>
          <w:sz w:val="22"/>
          <w:szCs w:val="22"/>
          <w:lang w:val="es-MX"/>
        </w:rPr>
        <w:t>s</w:t>
      </w:r>
      <w:r w:rsidRPr="006D1E13">
        <w:rPr>
          <w:rFonts w:ascii="Gibson" w:hAnsi="Gibson" w:cstheme="minorHAnsi"/>
          <w:spacing w:val="0"/>
          <w:sz w:val="22"/>
          <w:szCs w:val="22"/>
          <w:lang w:val="es-MX"/>
        </w:rPr>
        <w:t xml:space="preserve"> a los diferentes niveles de riesgo en función de las calificaciones del </w:t>
      </w:r>
      <w:r w:rsidR="00BE1035">
        <w:rPr>
          <w:rFonts w:ascii="Gibson" w:hAnsi="Gibson" w:cstheme="minorHAnsi"/>
          <w:spacing w:val="0"/>
          <w:sz w:val="22"/>
          <w:szCs w:val="22"/>
          <w:lang w:val="es-MX"/>
        </w:rPr>
        <w:t>C</w:t>
      </w:r>
      <w:r w:rsidRPr="006D1E13">
        <w:rPr>
          <w:rFonts w:ascii="Gibson" w:hAnsi="Gibson" w:cstheme="minorHAnsi"/>
          <w:spacing w:val="0"/>
          <w:sz w:val="22"/>
          <w:szCs w:val="22"/>
          <w:lang w:val="es-MX"/>
        </w:rPr>
        <w:t xml:space="preserve">rédito o, en su defecto, del Estado, de acuerdo con la mecánica establecida en el Modelo de Contrato de Crédito </w:t>
      </w:r>
      <w:r w:rsidR="00501907">
        <w:rPr>
          <w:rFonts w:ascii="Gibson" w:hAnsi="Gibson" w:cstheme="minorHAnsi"/>
          <w:spacing w:val="0"/>
          <w:sz w:val="22"/>
          <w:szCs w:val="22"/>
          <w:lang w:val="es-MX"/>
        </w:rPr>
        <w:t xml:space="preserve">adjunto como Anexo </w:t>
      </w:r>
      <w:r w:rsidR="0065476F">
        <w:rPr>
          <w:rFonts w:ascii="Gibson" w:hAnsi="Gibson" w:cstheme="minorHAnsi"/>
          <w:spacing w:val="0"/>
          <w:sz w:val="22"/>
          <w:szCs w:val="22"/>
          <w:lang w:val="es-MX"/>
        </w:rPr>
        <w:t>3</w:t>
      </w:r>
      <w:r w:rsidR="00501907">
        <w:rPr>
          <w:rFonts w:ascii="Gibson" w:hAnsi="Gibson" w:cstheme="minorHAnsi"/>
          <w:spacing w:val="0"/>
          <w:sz w:val="22"/>
          <w:szCs w:val="22"/>
          <w:lang w:val="es-MX"/>
        </w:rPr>
        <w:t xml:space="preserve"> de</w:t>
      </w:r>
      <w:r w:rsidRPr="006D1E13">
        <w:rPr>
          <w:rFonts w:ascii="Gibson" w:hAnsi="Gibson" w:cstheme="minorHAnsi"/>
          <w:spacing w:val="0"/>
          <w:sz w:val="22"/>
          <w:szCs w:val="22"/>
          <w:lang w:val="es-MX"/>
        </w:rPr>
        <w:t xml:space="preserve"> las Bases de la Licitación</w:t>
      </w:r>
      <w:r w:rsidR="00501907">
        <w:rPr>
          <w:rFonts w:ascii="Gibson" w:hAnsi="Gibson" w:cstheme="minorHAnsi"/>
          <w:spacing w:val="0"/>
          <w:sz w:val="22"/>
          <w:szCs w:val="22"/>
          <w:lang w:val="es-MX"/>
        </w:rPr>
        <w:t>.</w:t>
      </w:r>
    </w:p>
    <w:p w14:paraId="77F97AB4" w14:textId="77777777" w:rsidR="004C2A5D" w:rsidRPr="006D1E13" w:rsidRDefault="004C2A5D" w:rsidP="004C2A5D">
      <w:pPr>
        <w:spacing w:line="240" w:lineRule="auto"/>
        <w:rPr>
          <w:rFonts w:ascii="Gibson" w:hAnsi="Gibson" w:cstheme="minorHAnsi"/>
          <w:sz w:val="22"/>
          <w:szCs w:val="22"/>
          <w:lang w:val="es-MX"/>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1275"/>
        <w:gridCol w:w="1701"/>
        <w:gridCol w:w="1418"/>
        <w:gridCol w:w="1843"/>
      </w:tblGrid>
      <w:tr w:rsidR="004C2A5D" w:rsidRPr="006D1E13" w14:paraId="7798A553" w14:textId="77777777" w:rsidTr="006F44C0">
        <w:trPr>
          <w:trHeight w:val="522"/>
          <w:tblHeader/>
          <w:jc w:val="center"/>
        </w:trPr>
        <w:tc>
          <w:tcPr>
            <w:tcW w:w="7083"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E53FAE" w14:textId="0E56084E" w:rsidR="004C2A5D" w:rsidRPr="003A18F8" w:rsidRDefault="004C2A5D" w:rsidP="002E788A">
            <w:pPr>
              <w:spacing w:line="240" w:lineRule="auto"/>
              <w:jc w:val="center"/>
              <w:rPr>
                <w:rFonts w:ascii="Gibson" w:hAnsi="Gibson" w:cstheme="minorHAnsi"/>
                <w:b/>
                <w:bCs/>
                <w:sz w:val="18"/>
                <w:szCs w:val="18"/>
              </w:rPr>
            </w:pPr>
            <w:r w:rsidRPr="003A18F8">
              <w:rPr>
                <w:rFonts w:ascii="Gibson" w:hAnsi="Gibson" w:cstheme="minorHAnsi"/>
                <w:b/>
                <w:bCs/>
                <w:sz w:val="18"/>
                <w:szCs w:val="18"/>
              </w:rPr>
              <w:t>CALIFICACIÓN DEL CRÉDITO</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C8CC74" w14:textId="1549F6E5" w:rsidR="004C2A5D" w:rsidRPr="003A18F8" w:rsidRDefault="00501907" w:rsidP="002E788A">
            <w:pPr>
              <w:spacing w:line="240" w:lineRule="auto"/>
              <w:jc w:val="center"/>
              <w:rPr>
                <w:rFonts w:ascii="Gibson" w:hAnsi="Gibson" w:cstheme="minorHAnsi"/>
                <w:b/>
                <w:bCs/>
                <w:sz w:val="18"/>
                <w:szCs w:val="18"/>
              </w:rPr>
            </w:pPr>
            <w:r w:rsidRPr="003A18F8">
              <w:rPr>
                <w:rFonts w:ascii="Gibson" w:hAnsi="Gibson" w:cstheme="minorHAnsi"/>
                <w:b/>
                <w:bCs/>
                <w:sz w:val="18"/>
                <w:szCs w:val="18"/>
              </w:rPr>
              <w:t>Sobretasa</w:t>
            </w:r>
          </w:p>
          <w:p w14:paraId="2A6E49A6" w14:textId="77777777" w:rsidR="004C2A5D" w:rsidRDefault="00501907" w:rsidP="002E788A">
            <w:pPr>
              <w:spacing w:line="240" w:lineRule="auto"/>
              <w:jc w:val="center"/>
              <w:rPr>
                <w:rFonts w:ascii="Gibson" w:hAnsi="Gibson" w:cstheme="minorHAnsi"/>
                <w:b/>
                <w:bCs/>
                <w:sz w:val="18"/>
                <w:szCs w:val="18"/>
              </w:rPr>
            </w:pPr>
            <w:r w:rsidRPr="003A18F8">
              <w:rPr>
                <w:rFonts w:ascii="Gibson" w:hAnsi="Gibson" w:cstheme="minorHAnsi"/>
                <w:b/>
                <w:bCs/>
                <w:sz w:val="18"/>
                <w:szCs w:val="18"/>
              </w:rPr>
              <w:t>(</w:t>
            </w:r>
            <w:r w:rsidR="00DD4454" w:rsidRPr="003A18F8">
              <w:rPr>
                <w:rFonts w:ascii="Gibson" w:hAnsi="Gibson" w:cstheme="minorHAnsi"/>
                <w:b/>
                <w:bCs/>
                <w:sz w:val="18"/>
                <w:szCs w:val="18"/>
              </w:rPr>
              <w:t>p</w:t>
            </w:r>
            <w:r w:rsidR="004C2A5D" w:rsidRPr="003A18F8">
              <w:rPr>
                <w:rFonts w:ascii="Gibson" w:hAnsi="Gibson" w:cstheme="minorHAnsi"/>
                <w:b/>
                <w:bCs/>
                <w:sz w:val="18"/>
                <w:szCs w:val="18"/>
              </w:rPr>
              <w:t xml:space="preserve">untos </w:t>
            </w:r>
            <w:r w:rsidR="00DD4454" w:rsidRPr="003A18F8">
              <w:rPr>
                <w:rFonts w:ascii="Gibson" w:hAnsi="Gibson" w:cstheme="minorHAnsi"/>
                <w:b/>
                <w:bCs/>
                <w:sz w:val="18"/>
                <w:szCs w:val="18"/>
              </w:rPr>
              <w:t>p</w:t>
            </w:r>
            <w:r w:rsidR="00D012C2" w:rsidRPr="003A18F8">
              <w:rPr>
                <w:rFonts w:ascii="Gibson" w:hAnsi="Gibson" w:cstheme="minorHAnsi"/>
                <w:b/>
                <w:bCs/>
                <w:sz w:val="18"/>
                <w:szCs w:val="18"/>
              </w:rPr>
              <w:t>orcentuales</w:t>
            </w:r>
            <w:r w:rsidRPr="003A18F8">
              <w:rPr>
                <w:rFonts w:ascii="Gibson" w:hAnsi="Gibson" w:cstheme="minorHAnsi"/>
                <w:b/>
                <w:bCs/>
                <w:sz w:val="18"/>
                <w:szCs w:val="18"/>
              </w:rPr>
              <w:t>)</w:t>
            </w:r>
          </w:p>
          <w:p w14:paraId="2B585A9B" w14:textId="48043339" w:rsidR="00350786" w:rsidRPr="003A18F8" w:rsidRDefault="00350786" w:rsidP="002E788A">
            <w:pPr>
              <w:spacing w:line="240" w:lineRule="auto"/>
              <w:jc w:val="center"/>
              <w:rPr>
                <w:rFonts w:ascii="Gibson" w:hAnsi="Gibson" w:cstheme="minorHAnsi"/>
                <w:b/>
                <w:bCs/>
                <w:sz w:val="18"/>
                <w:szCs w:val="18"/>
              </w:rPr>
            </w:pPr>
            <w:r>
              <w:rPr>
                <w:rFonts w:ascii="Gibson" w:hAnsi="Gibson" w:cstheme="minorHAnsi"/>
                <w:b/>
                <w:bCs/>
                <w:sz w:val="18"/>
                <w:szCs w:val="18"/>
              </w:rPr>
              <w:t>En caso de que el Crédito o el Acreditado cuenten con al menos dos calificaciones crediticias</w:t>
            </w:r>
          </w:p>
        </w:tc>
      </w:tr>
      <w:tr w:rsidR="004C2A5D" w:rsidRPr="006D1E13" w14:paraId="7FAB567F" w14:textId="77777777" w:rsidTr="006F44C0">
        <w:trPr>
          <w:trHeight w:val="7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0B6A1F" w14:textId="77777777" w:rsidR="004C2A5D" w:rsidRPr="003A18F8" w:rsidRDefault="004C2A5D" w:rsidP="002E788A">
            <w:pPr>
              <w:spacing w:line="240" w:lineRule="auto"/>
              <w:jc w:val="center"/>
              <w:rPr>
                <w:rFonts w:ascii="Gibson" w:hAnsi="Gibson" w:cstheme="minorHAnsi"/>
                <w:b/>
                <w:bCs/>
                <w:sz w:val="18"/>
                <w:szCs w:val="18"/>
              </w:rPr>
            </w:pPr>
            <w:r w:rsidRPr="003A18F8">
              <w:rPr>
                <w:rFonts w:ascii="Gibson" w:hAnsi="Gibson" w:cstheme="minorHAnsi"/>
                <w:b/>
                <w:bCs/>
                <w:sz w:val="18"/>
                <w:szCs w:val="18"/>
              </w:rPr>
              <w:t>S&amp;P</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F30299" w14:textId="77777777" w:rsidR="004C2A5D" w:rsidRPr="003A18F8" w:rsidRDefault="004C2A5D" w:rsidP="002E788A">
            <w:pPr>
              <w:spacing w:line="240" w:lineRule="auto"/>
              <w:jc w:val="center"/>
              <w:rPr>
                <w:rFonts w:ascii="Gibson" w:hAnsi="Gibson" w:cstheme="minorHAnsi"/>
                <w:b/>
                <w:bCs/>
                <w:sz w:val="18"/>
                <w:szCs w:val="18"/>
              </w:rPr>
            </w:pPr>
            <w:r w:rsidRPr="003A18F8">
              <w:rPr>
                <w:rFonts w:ascii="Gibson" w:hAnsi="Gibson" w:cstheme="minorHAnsi"/>
                <w:b/>
                <w:bCs/>
                <w:sz w:val="18"/>
                <w:szCs w:val="18"/>
              </w:rPr>
              <w:t>Fitch</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B79187" w14:textId="77777777" w:rsidR="004C2A5D" w:rsidRPr="003A18F8" w:rsidRDefault="004C2A5D" w:rsidP="002E788A">
            <w:pPr>
              <w:spacing w:line="240" w:lineRule="auto"/>
              <w:jc w:val="center"/>
              <w:rPr>
                <w:rFonts w:ascii="Gibson" w:hAnsi="Gibson" w:cstheme="minorHAnsi"/>
                <w:b/>
                <w:bCs/>
                <w:sz w:val="18"/>
                <w:szCs w:val="18"/>
              </w:rPr>
            </w:pPr>
            <w:r w:rsidRPr="003A18F8">
              <w:rPr>
                <w:rFonts w:ascii="Gibson" w:hAnsi="Gibson" w:cstheme="minorHAnsi"/>
                <w:b/>
                <w:bCs/>
                <w:sz w:val="18"/>
                <w:szCs w:val="18"/>
              </w:rPr>
              <w:t>Moody’s</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56E240" w14:textId="77777777" w:rsidR="004C2A5D" w:rsidRPr="003A18F8" w:rsidRDefault="004C2A5D" w:rsidP="002E788A">
            <w:pPr>
              <w:spacing w:line="240" w:lineRule="auto"/>
              <w:jc w:val="center"/>
              <w:rPr>
                <w:rFonts w:ascii="Gibson" w:hAnsi="Gibson" w:cstheme="minorHAnsi"/>
                <w:b/>
                <w:bCs/>
                <w:sz w:val="18"/>
                <w:szCs w:val="18"/>
              </w:rPr>
            </w:pPr>
            <w:r w:rsidRPr="003A18F8">
              <w:rPr>
                <w:rFonts w:ascii="Gibson" w:hAnsi="Gibson" w:cstheme="minorHAnsi"/>
                <w:b/>
                <w:bCs/>
                <w:sz w:val="18"/>
                <w:szCs w:val="18"/>
              </w:rPr>
              <w:t>HR Ratings</w:t>
            </w:r>
          </w:p>
        </w:tc>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3294FB" w14:textId="77777777" w:rsidR="004C2A5D" w:rsidRPr="003A18F8" w:rsidRDefault="004C2A5D" w:rsidP="002E788A">
            <w:pPr>
              <w:spacing w:line="240" w:lineRule="auto"/>
              <w:jc w:val="center"/>
              <w:rPr>
                <w:rFonts w:ascii="Gibson" w:hAnsi="Gibson" w:cstheme="minorHAnsi"/>
                <w:b/>
                <w:bCs/>
                <w:sz w:val="18"/>
                <w:szCs w:val="18"/>
              </w:rPr>
            </w:pPr>
            <w:proofErr w:type="spellStart"/>
            <w:r w:rsidRPr="003A18F8">
              <w:rPr>
                <w:rFonts w:ascii="Gibson" w:hAnsi="Gibson" w:cstheme="minorHAnsi"/>
                <w:b/>
                <w:bCs/>
                <w:sz w:val="18"/>
                <w:szCs w:val="18"/>
              </w:rPr>
              <w:t>Verum</w:t>
            </w:r>
            <w:proofErr w:type="spellEnd"/>
          </w:p>
        </w:tc>
        <w:tc>
          <w:tcPr>
            <w:tcW w:w="184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8A31F4" w14:textId="77777777" w:rsidR="004C2A5D" w:rsidRPr="003A18F8" w:rsidRDefault="004C2A5D" w:rsidP="002E788A">
            <w:pPr>
              <w:spacing w:line="240" w:lineRule="auto"/>
              <w:rPr>
                <w:rFonts w:ascii="Gibson" w:hAnsi="Gibson" w:cstheme="minorHAnsi"/>
                <w:b/>
                <w:bCs/>
                <w:sz w:val="18"/>
                <w:szCs w:val="18"/>
                <w:lang w:val="es-MX"/>
              </w:rPr>
            </w:pPr>
          </w:p>
        </w:tc>
      </w:tr>
      <w:tr w:rsidR="004C2A5D" w:rsidRPr="006D1E13" w14:paraId="47103017"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B2245E3"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mxAAA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1CE00A21" w14:textId="77777777" w:rsidR="004C2A5D" w:rsidRPr="003A18F8" w:rsidRDefault="004C2A5D" w:rsidP="002E788A">
            <w:pPr>
              <w:spacing w:line="240" w:lineRule="auto"/>
              <w:jc w:val="center"/>
              <w:rPr>
                <w:rFonts w:ascii="Gibson" w:hAnsi="Gibson" w:cstheme="minorHAnsi"/>
                <w:sz w:val="18"/>
                <w:szCs w:val="18"/>
              </w:rPr>
            </w:pPr>
            <w:proofErr w:type="gramStart"/>
            <w:r w:rsidRPr="003A18F8">
              <w:rPr>
                <w:rFonts w:ascii="Gibson" w:hAnsi="Gibson" w:cstheme="minorHAnsi"/>
                <w:sz w:val="18"/>
                <w:szCs w:val="18"/>
              </w:rPr>
              <w:t>AAA(</w:t>
            </w:r>
            <w:proofErr w:type="spellStart"/>
            <w:proofErr w:type="gramEnd"/>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F166C8" w14:textId="23706F50"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w:t>
            </w:r>
            <w:r w:rsidR="00470372">
              <w:rPr>
                <w:rFonts w:ascii="Gibson" w:hAnsi="Gibson" w:cstheme="minorHAnsi"/>
                <w:sz w:val="18"/>
                <w:szCs w:val="18"/>
              </w:rPr>
              <w:t>AA</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00FBD9"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AAA</w:t>
            </w:r>
          </w:p>
        </w:tc>
        <w:tc>
          <w:tcPr>
            <w:tcW w:w="1418" w:type="dxa"/>
            <w:tcBorders>
              <w:top w:val="single" w:sz="4" w:space="0" w:color="auto"/>
              <w:left w:val="single" w:sz="4" w:space="0" w:color="auto"/>
              <w:bottom w:val="single" w:sz="4" w:space="0" w:color="auto"/>
              <w:right w:val="single" w:sz="4" w:space="0" w:color="auto"/>
            </w:tcBorders>
            <w:hideMark/>
          </w:tcPr>
          <w:p w14:paraId="49CA6A9B"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AAA/M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688DAE" w14:textId="4CA6C83E"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w:t>
            </w:r>
          </w:p>
        </w:tc>
      </w:tr>
      <w:tr w:rsidR="004C2A5D" w:rsidRPr="006D1E13" w14:paraId="7C5D4D6A"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311C124"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mxAA</w:t>
            </w:r>
            <w:proofErr w:type="spellEnd"/>
            <w:r w:rsidRPr="003A18F8">
              <w:rPr>
                <w:rFonts w:ascii="Gibson" w:hAnsi="Gibson" w:cstheme="minorHAnsi"/>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2B534C"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AA+(</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2786EA" w14:textId="48690EBC"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w:t>
            </w:r>
            <w:r w:rsidR="00470372">
              <w:rPr>
                <w:rFonts w:ascii="Gibson" w:hAnsi="Gibson" w:cstheme="minorHAnsi"/>
                <w:sz w:val="18"/>
                <w:szCs w:val="18"/>
              </w:rPr>
              <w:t>A+</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F6FA609"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AA+</w:t>
            </w:r>
          </w:p>
        </w:tc>
        <w:tc>
          <w:tcPr>
            <w:tcW w:w="1418" w:type="dxa"/>
            <w:tcBorders>
              <w:top w:val="single" w:sz="4" w:space="0" w:color="auto"/>
              <w:left w:val="single" w:sz="4" w:space="0" w:color="auto"/>
              <w:bottom w:val="single" w:sz="4" w:space="0" w:color="auto"/>
              <w:right w:val="single" w:sz="4" w:space="0" w:color="auto"/>
            </w:tcBorders>
            <w:hideMark/>
          </w:tcPr>
          <w:p w14:paraId="194177D2"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AA+/M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9E70E0" w14:textId="0AFAAC11"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w:t>
            </w:r>
          </w:p>
        </w:tc>
      </w:tr>
      <w:tr w:rsidR="004C2A5D" w:rsidRPr="006D1E13" w14:paraId="69FAF775"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26FC815"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mxAA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55B88C0" w14:textId="77777777" w:rsidR="004C2A5D" w:rsidRPr="003A18F8" w:rsidRDefault="004C2A5D" w:rsidP="002E788A">
            <w:pPr>
              <w:spacing w:line="240" w:lineRule="auto"/>
              <w:jc w:val="center"/>
              <w:rPr>
                <w:rFonts w:ascii="Gibson" w:hAnsi="Gibson" w:cstheme="minorHAnsi"/>
                <w:sz w:val="18"/>
                <w:szCs w:val="18"/>
              </w:rPr>
            </w:pPr>
            <w:proofErr w:type="gramStart"/>
            <w:r w:rsidRPr="003A18F8">
              <w:rPr>
                <w:rFonts w:ascii="Gibson" w:hAnsi="Gibson" w:cstheme="minorHAnsi"/>
                <w:sz w:val="18"/>
                <w:szCs w:val="18"/>
              </w:rPr>
              <w:t>AA(</w:t>
            </w:r>
            <w:proofErr w:type="spellStart"/>
            <w:proofErr w:type="gramEnd"/>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99ED4B" w14:textId="03D10E03"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w:t>
            </w:r>
            <w:r w:rsidR="00470372">
              <w:rPr>
                <w:rFonts w:ascii="Gibson" w:hAnsi="Gibson" w:cstheme="minorHAnsi"/>
                <w:sz w:val="18"/>
                <w:szCs w:val="18"/>
              </w:rPr>
              <w:t>A</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310AEC"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AA</w:t>
            </w:r>
          </w:p>
        </w:tc>
        <w:tc>
          <w:tcPr>
            <w:tcW w:w="1418" w:type="dxa"/>
            <w:tcBorders>
              <w:top w:val="single" w:sz="4" w:space="0" w:color="auto"/>
              <w:left w:val="single" w:sz="4" w:space="0" w:color="auto"/>
              <w:bottom w:val="single" w:sz="4" w:space="0" w:color="auto"/>
              <w:right w:val="single" w:sz="4" w:space="0" w:color="auto"/>
            </w:tcBorders>
            <w:hideMark/>
          </w:tcPr>
          <w:p w14:paraId="5B7CCDCF"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AA/M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F06260" w14:textId="3AF9DED1"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w:t>
            </w:r>
          </w:p>
        </w:tc>
      </w:tr>
      <w:tr w:rsidR="004C2A5D" w:rsidRPr="006D1E13" w14:paraId="400872D0"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BF423A3"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mxAA</w:t>
            </w:r>
            <w:proofErr w:type="spellEnd"/>
            <w:r w:rsidRPr="003A18F8">
              <w:rPr>
                <w:rFonts w:ascii="Gibson" w:hAnsi="Gibson" w:cstheme="minorHAnsi"/>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07FFC7"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AA-(</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DEC4DC9" w14:textId="23AF91FE"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w:t>
            </w:r>
            <w:r w:rsidR="00470372">
              <w:rPr>
                <w:rFonts w:ascii="Gibson" w:hAnsi="Gibson" w:cstheme="minorHAnsi"/>
                <w:sz w:val="18"/>
                <w:szCs w:val="18"/>
              </w:rPr>
              <w:t>A-</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70DF5A"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AA-</w:t>
            </w:r>
          </w:p>
        </w:tc>
        <w:tc>
          <w:tcPr>
            <w:tcW w:w="1418" w:type="dxa"/>
            <w:tcBorders>
              <w:top w:val="single" w:sz="4" w:space="0" w:color="auto"/>
              <w:left w:val="single" w:sz="4" w:space="0" w:color="auto"/>
              <w:bottom w:val="single" w:sz="4" w:space="0" w:color="auto"/>
              <w:right w:val="single" w:sz="4" w:space="0" w:color="auto"/>
            </w:tcBorders>
            <w:hideMark/>
          </w:tcPr>
          <w:p w14:paraId="2E35568A"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AA-/M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45B39D" w14:textId="56A4BAC6"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519F718E"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F297B2B"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mxA</w:t>
            </w:r>
            <w:proofErr w:type="spellEnd"/>
            <w:r w:rsidRPr="003A18F8">
              <w:rPr>
                <w:rFonts w:ascii="Gibson" w:hAnsi="Gibson" w:cstheme="minorHAnsi"/>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66DFCA"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A40095" w14:textId="5949B236"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w:t>
            </w:r>
            <w:r w:rsidR="00470372">
              <w:rPr>
                <w:rFonts w:ascii="Gibson" w:hAnsi="Gibson" w:cstheme="minorHAnsi"/>
                <w:sz w:val="18"/>
                <w:szCs w:val="18"/>
              </w:rPr>
              <w:t>+</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B71071"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A+</w:t>
            </w:r>
          </w:p>
        </w:tc>
        <w:tc>
          <w:tcPr>
            <w:tcW w:w="1418" w:type="dxa"/>
            <w:tcBorders>
              <w:top w:val="single" w:sz="4" w:space="0" w:color="auto"/>
              <w:left w:val="single" w:sz="4" w:space="0" w:color="auto"/>
              <w:bottom w:val="single" w:sz="4" w:space="0" w:color="auto"/>
              <w:right w:val="single" w:sz="4" w:space="0" w:color="auto"/>
            </w:tcBorders>
            <w:hideMark/>
          </w:tcPr>
          <w:p w14:paraId="15FEC7B9"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A+/M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A40C3AB" w14:textId="3D7E2B60"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r w:rsidR="00960E4E" w:rsidRPr="003A18F8">
              <w:rPr>
                <w:rFonts w:ascii="Gibson" w:hAnsi="Gibson" w:cstheme="minorHAnsi"/>
                <w:sz w:val="18"/>
                <w:szCs w:val="18"/>
              </w:rPr>
              <w:t>]</w:t>
            </w:r>
          </w:p>
        </w:tc>
      </w:tr>
      <w:tr w:rsidR="004C2A5D" w:rsidRPr="006D1E13" w14:paraId="22A09123"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CD426C8"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mxA</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1E0AA77"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2F8489C" w14:textId="7B46A9B0"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06570C"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A</w:t>
            </w:r>
          </w:p>
        </w:tc>
        <w:tc>
          <w:tcPr>
            <w:tcW w:w="1418" w:type="dxa"/>
            <w:tcBorders>
              <w:top w:val="single" w:sz="4" w:space="0" w:color="auto"/>
              <w:left w:val="single" w:sz="4" w:space="0" w:color="auto"/>
              <w:bottom w:val="single" w:sz="4" w:space="0" w:color="auto"/>
              <w:right w:val="single" w:sz="4" w:space="0" w:color="auto"/>
            </w:tcBorders>
            <w:hideMark/>
          </w:tcPr>
          <w:p w14:paraId="7046410C"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A/M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3A5375" w14:textId="34A45A58"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7DDBD9B3"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4ECB932"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mxA</w:t>
            </w:r>
            <w:proofErr w:type="spellEnd"/>
            <w:r w:rsidRPr="003A18F8">
              <w:rPr>
                <w:rFonts w:ascii="Gibson" w:hAnsi="Gibson" w:cstheme="minorHAnsi"/>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895F9A"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253F69" w14:textId="5E9793F6"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A</w:t>
            </w:r>
            <w:r w:rsidR="00470372">
              <w:rPr>
                <w:rFonts w:ascii="Gibson" w:hAnsi="Gibson" w:cstheme="minorHAnsi"/>
                <w:sz w:val="18"/>
                <w:szCs w:val="18"/>
              </w:rPr>
              <w:t>-</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FE55EB"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A-</w:t>
            </w:r>
          </w:p>
        </w:tc>
        <w:tc>
          <w:tcPr>
            <w:tcW w:w="1418" w:type="dxa"/>
            <w:tcBorders>
              <w:top w:val="single" w:sz="4" w:space="0" w:color="auto"/>
              <w:left w:val="single" w:sz="4" w:space="0" w:color="auto"/>
              <w:bottom w:val="single" w:sz="4" w:space="0" w:color="auto"/>
              <w:right w:val="single" w:sz="4" w:space="0" w:color="auto"/>
            </w:tcBorders>
            <w:hideMark/>
          </w:tcPr>
          <w:p w14:paraId="6C32E9BE"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A-/M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3E01E6" w14:textId="295EFF56"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1AC6EEAD"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63B9FAF"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mxBBB</w:t>
            </w:r>
            <w:proofErr w:type="spellEnd"/>
            <w:r w:rsidRPr="003A18F8">
              <w:rPr>
                <w:rFonts w:ascii="Gibson" w:hAnsi="Gibson" w:cstheme="minorHAnsi"/>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69FFEC"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BBB+(</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58BEA9C" w14:textId="57891EDF"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r w:rsidR="00470372">
              <w:rPr>
                <w:rFonts w:ascii="Gibson" w:hAnsi="Gibson" w:cstheme="minorHAnsi"/>
                <w:sz w:val="18"/>
                <w:szCs w:val="18"/>
              </w:rPr>
              <w:t>BB+</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B42F67"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BBB+</w:t>
            </w:r>
          </w:p>
        </w:tc>
        <w:tc>
          <w:tcPr>
            <w:tcW w:w="1418" w:type="dxa"/>
            <w:tcBorders>
              <w:top w:val="single" w:sz="4" w:space="0" w:color="auto"/>
              <w:left w:val="single" w:sz="4" w:space="0" w:color="auto"/>
              <w:bottom w:val="single" w:sz="4" w:space="0" w:color="auto"/>
              <w:right w:val="single" w:sz="4" w:space="0" w:color="auto"/>
            </w:tcBorders>
            <w:hideMark/>
          </w:tcPr>
          <w:p w14:paraId="528B35E5"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BBB+/M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F63DD" w14:textId="5B06FAFC"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5DAE9D7E"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CBF3112"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mxBBB</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DCA71A8" w14:textId="77777777" w:rsidR="004C2A5D" w:rsidRPr="003A18F8" w:rsidRDefault="004C2A5D" w:rsidP="002E788A">
            <w:pPr>
              <w:spacing w:line="240" w:lineRule="auto"/>
              <w:jc w:val="center"/>
              <w:rPr>
                <w:rFonts w:ascii="Gibson" w:hAnsi="Gibson" w:cstheme="minorHAnsi"/>
                <w:sz w:val="18"/>
                <w:szCs w:val="18"/>
              </w:rPr>
            </w:pPr>
            <w:proofErr w:type="gramStart"/>
            <w:r w:rsidRPr="003A18F8">
              <w:rPr>
                <w:rFonts w:ascii="Gibson" w:hAnsi="Gibson" w:cstheme="minorHAnsi"/>
                <w:sz w:val="18"/>
                <w:szCs w:val="18"/>
              </w:rPr>
              <w:t>BBB(</w:t>
            </w:r>
            <w:proofErr w:type="spellStart"/>
            <w:proofErr w:type="gramEnd"/>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770602" w14:textId="7FE15E88"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r w:rsidR="00470372">
              <w:rPr>
                <w:rFonts w:ascii="Gibson" w:hAnsi="Gibson" w:cstheme="minorHAnsi"/>
                <w:sz w:val="18"/>
                <w:szCs w:val="18"/>
              </w:rPr>
              <w:t>BB.</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2E5B9C"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BBB</w:t>
            </w:r>
          </w:p>
        </w:tc>
        <w:tc>
          <w:tcPr>
            <w:tcW w:w="1418" w:type="dxa"/>
            <w:tcBorders>
              <w:top w:val="single" w:sz="4" w:space="0" w:color="auto"/>
              <w:left w:val="single" w:sz="4" w:space="0" w:color="auto"/>
              <w:bottom w:val="single" w:sz="4" w:space="0" w:color="auto"/>
              <w:right w:val="single" w:sz="4" w:space="0" w:color="auto"/>
            </w:tcBorders>
            <w:hideMark/>
          </w:tcPr>
          <w:p w14:paraId="347D4431"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BBB/M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ADE172" w14:textId="77D552C3"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36DC4BE3"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EDCC4C4"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mxBBB</w:t>
            </w:r>
            <w:proofErr w:type="spellEnd"/>
            <w:r w:rsidRPr="003A18F8">
              <w:rPr>
                <w:rFonts w:ascii="Gibson" w:hAnsi="Gibson" w:cstheme="minorHAnsi"/>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754C73"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BBB-(</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D02A8ED" w14:textId="38FA3C00"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r w:rsidR="00470372">
              <w:rPr>
                <w:rFonts w:ascii="Gibson" w:hAnsi="Gibson" w:cstheme="minorHAnsi"/>
                <w:sz w:val="18"/>
                <w:szCs w:val="18"/>
              </w:rPr>
              <w:t>BB-</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175B13"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BBB-</w:t>
            </w:r>
          </w:p>
        </w:tc>
        <w:tc>
          <w:tcPr>
            <w:tcW w:w="1418" w:type="dxa"/>
            <w:tcBorders>
              <w:top w:val="single" w:sz="4" w:space="0" w:color="auto"/>
              <w:left w:val="single" w:sz="4" w:space="0" w:color="auto"/>
              <w:bottom w:val="single" w:sz="4" w:space="0" w:color="auto"/>
              <w:right w:val="single" w:sz="4" w:space="0" w:color="auto"/>
            </w:tcBorders>
            <w:hideMark/>
          </w:tcPr>
          <w:p w14:paraId="3D0DAC9D"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BBB-/M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A3CC2A" w14:textId="37DE0CFB"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18698063"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C581B22"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mxBB</w:t>
            </w:r>
            <w:proofErr w:type="spellEnd"/>
            <w:r w:rsidRPr="003A18F8">
              <w:rPr>
                <w:rFonts w:ascii="Gibson" w:hAnsi="Gibson" w:cstheme="minorHAnsi"/>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15AEC3"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BB+(</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DE264A" w14:textId="55240BE0"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r w:rsidR="00470372">
              <w:rPr>
                <w:rFonts w:ascii="Gibson" w:hAnsi="Gibson" w:cstheme="minorHAnsi"/>
                <w:sz w:val="18"/>
                <w:szCs w:val="18"/>
              </w:rPr>
              <w:t>B+</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6FA83E"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BB+</w:t>
            </w:r>
          </w:p>
        </w:tc>
        <w:tc>
          <w:tcPr>
            <w:tcW w:w="1418" w:type="dxa"/>
            <w:tcBorders>
              <w:top w:val="single" w:sz="4" w:space="0" w:color="auto"/>
              <w:left w:val="single" w:sz="4" w:space="0" w:color="auto"/>
              <w:bottom w:val="single" w:sz="4" w:space="0" w:color="auto"/>
              <w:right w:val="single" w:sz="4" w:space="0" w:color="auto"/>
            </w:tcBorders>
            <w:hideMark/>
          </w:tcPr>
          <w:p w14:paraId="389637AD"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BB+/M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E2C9ED" w14:textId="4165A603"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04EB5DD5"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26F1009"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mxBB</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19C6FA58" w14:textId="77777777" w:rsidR="004C2A5D" w:rsidRPr="003A18F8" w:rsidRDefault="004C2A5D" w:rsidP="002E788A">
            <w:pPr>
              <w:spacing w:line="240" w:lineRule="auto"/>
              <w:jc w:val="center"/>
              <w:rPr>
                <w:rFonts w:ascii="Gibson" w:hAnsi="Gibson" w:cstheme="minorHAnsi"/>
                <w:sz w:val="18"/>
                <w:szCs w:val="18"/>
              </w:rPr>
            </w:pPr>
            <w:proofErr w:type="gramStart"/>
            <w:r w:rsidRPr="003A18F8">
              <w:rPr>
                <w:rFonts w:ascii="Gibson" w:hAnsi="Gibson" w:cstheme="minorHAnsi"/>
                <w:sz w:val="18"/>
                <w:szCs w:val="18"/>
              </w:rPr>
              <w:t>BB(</w:t>
            </w:r>
            <w:proofErr w:type="spellStart"/>
            <w:proofErr w:type="gramEnd"/>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17EC9FB" w14:textId="1DF6508F"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r w:rsidR="00470372">
              <w:rPr>
                <w:rFonts w:ascii="Gibson" w:hAnsi="Gibson" w:cstheme="minorHAnsi"/>
                <w:sz w:val="18"/>
                <w:szCs w:val="18"/>
              </w:rPr>
              <w:t>B</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1744A6"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BB</w:t>
            </w:r>
          </w:p>
        </w:tc>
        <w:tc>
          <w:tcPr>
            <w:tcW w:w="1418" w:type="dxa"/>
            <w:tcBorders>
              <w:top w:val="single" w:sz="4" w:space="0" w:color="auto"/>
              <w:left w:val="single" w:sz="4" w:space="0" w:color="auto"/>
              <w:bottom w:val="single" w:sz="4" w:space="0" w:color="auto"/>
              <w:right w:val="single" w:sz="4" w:space="0" w:color="auto"/>
            </w:tcBorders>
            <w:hideMark/>
          </w:tcPr>
          <w:p w14:paraId="2FB1836D"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BB/M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80BBA00" w14:textId="7F930BF2"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6D940E6B"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47B60F6"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mxBB</w:t>
            </w:r>
            <w:proofErr w:type="spellEnd"/>
            <w:r w:rsidRPr="003A18F8">
              <w:rPr>
                <w:rFonts w:ascii="Gibson" w:hAnsi="Gibson" w:cstheme="minorHAnsi"/>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439A22"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BB-(</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7CB8E1" w14:textId="4ACD12AC"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r w:rsidR="00470372">
              <w:rPr>
                <w:rFonts w:ascii="Gibson" w:hAnsi="Gibson" w:cstheme="minorHAnsi"/>
                <w:sz w:val="18"/>
                <w:szCs w:val="18"/>
              </w:rPr>
              <w:t>B-</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CD883A"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BB-</w:t>
            </w:r>
          </w:p>
        </w:tc>
        <w:tc>
          <w:tcPr>
            <w:tcW w:w="1418" w:type="dxa"/>
            <w:tcBorders>
              <w:top w:val="single" w:sz="4" w:space="0" w:color="auto"/>
              <w:left w:val="single" w:sz="4" w:space="0" w:color="auto"/>
              <w:bottom w:val="single" w:sz="4" w:space="0" w:color="auto"/>
              <w:right w:val="single" w:sz="4" w:space="0" w:color="auto"/>
            </w:tcBorders>
            <w:hideMark/>
          </w:tcPr>
          <w:p w14:paraId="4EEFCF8B"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BB-/M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F9E35B" w14:textId="0895C4A6"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024AB1F2"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3FA2271"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mxB</w:t>
            </w:r>
            <w:proofErr w:type="spellEnd"/>
            <w:r w:rsidRPr="003A18F8">
              <w:rPr>
                <w:rFonts w:ascii="Gibson" w:hAnsi="Gibson" w:cstheme="minorHAnsi"/>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0847C2"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B596DE" w14:textId="46563F7C"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r w:rsidR="00470372">
              <w:rPr>
                <w:rFonts w:ascii="Gibson" w:hAnsi="Gibson" w:cstheme="minorHAnsi"/>
                <w:sz w:val="18"/>
                <w:szCs w:val="18"/>
              </w:rPr>
              <w:t>+</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69C818"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B+</w:t>
            </w:r>
          </w:p>
        </w:tc>
        <w:tc>
          <w:tcPr>
            <w:tcW w:w="1418" w:type="dxa"/>
            <w:tcBorders>
              <w:top w:val="single" w:sz="4" w:space="0" w:color="auto"/>
              <w:left w:val="single" w:sz="4" w:space="0" w:color="auto"/>
              <w:bottom w:val="single" w:sz="4" w:space="0" w:color="auto"/>
              <w:right w:val="single" w:sz="4" w:space="0" w:color="auto"/>
            </w:tcBorders>
            <w:hideMark/>
          </w:tcPr>
          <w:p w14:paraId="402E2DE4"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B+/M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A35041" w14:textId="6FDCE950"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6BADA838"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6994CB6"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mxB</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22093A6"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CD143E" w14:textId="75CE4A51"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8E9459"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B</w:t>
            </w:r>
          </w:p>
        </w:tc>
        <w:tc>
          <w:tcPr>
            <w:tcW w:w="1418" w:type="dxa"/>
            <w:tcBorders>
              <w:top w:val="single" w:sz="4" w:space="0" w:color="auto"/>
              <w:left w:val="single" w:sz="4" w:space="0" w:color="auto"/>
              <w:bottom w:val="single" w:sz="4" w:space="0" w:color="auto"/>
              <w:right w:val="single" w:sz="4" w:space="0" w:color="auto"/>
            </w:tcBorders>
            <w:hideMark/>
          </w:tcPr>
          <w:p w14:paraId="5CDDDDB1"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B/M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8EB474" w14:textId="25DA3CFD"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2E053678"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01B63A2"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mxB</w:t>
            </w:r>
            <w:proofErr w:type="spellEnd"/>
            <w:r w:rsidRPr="003A18F8">
              <w:rPr>
                <w:rFonts w:ascii="Gibson" w:hAnsi="Gibson" w:cstheme="minorHAnsi"/>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C9F7EC"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038E9CF" w14:textId="2CDCA839"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w:t>
            </w:r>
            <w:r w:rsidR="00470372">
              <w:rPr>
                <w:rFonts w:ascii="Gibson" w:hAnsi="Gibson" w:cstheme="minorHAnsi"/>
                <w:sz w:val="18"/>
                <w:szCs w:val="18"/>
              </w:rPr>
              <w:t>-</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6E8097"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B-</w:t>
            </w:r>
          </w:p>
        </w:tc>
        <w:tc>
          <w:tcPr>
            <w:tcW w:w="1418" w:type="dxa"/>
            <w:tcBorders>
              <w:top w:val="single" w:sz="4" w:space="0" w:color="auto"/>
              <w:left w:val="single" w:sz="4" w:space="0" w:color="auto"/>
              <w:bottom w:val="single" w:sz="4" w:space="0" w:color="auto"/>
              <w:right w:val="single" w:sz="4" w:space="0" w:color="auto"/>
            </w:tcBorders>
            <w:hideMark/>
          </w:tcPr>
          <w:p w14:paraId="24480B41"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B-/M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E493C0" w14:textId="7B1EFE83"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w:t>
            </w:r>
          </w:p>
        </w:tc>
      </w:tr>
      <w:tr w:rsidR="004C2A5D" w:rsidRPr="006D1E13" w14:paraId="7A2C72F6"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9076E0A"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mxCCC</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4D15444F" w14:textId="77777777" w:rsidR="004C2A5D" w:rsidRPr="003A18F8" w:rsidRDefault="004C2A5D" w:rsidP="002E788A">
            <w:pPr>
              <w:spacing w:line="240" w:lineRule="auto"/>
              <w:jc w:val="center"/>
              <w:rPr>
                <w:rFonts w:ascii="Gibson" w:hAnsi="Gibson" w:cstheme="minorHAnsi"/>
                <w:sz w:val="18"/>
                <w:szCs w:val="18"/>
              </w:rPr>
            </w:pPr>
            <w:proofErr w:type="gramStart"/>
            <w:r w:rsidRPr="003A18F8">
              <w:rPr>
                <w:rFonts w:ascii="Gibson" w:hAnsi="Gibson" w:cstheme="minorHAnsi"/>
                <w:sz w:val="18"/>
                <w:szCs w:val="18"/>
              </w:rPr>
              <w:t>CCC(</w:t>
            </w:r>
            <w:proofErr w:type="spellStart"/>
            <w:proofErr w:type="gramEnd"/>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EA59E6" w14:textId="35E17F2F"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C</w:t>
            </w:r>
            <w:r w:rsidR="00470372">
              <w:rPr>
                <w:rFonts w:ascii="Gibson" w:hAnsi="Gibson" w:cstheme="minorHAnsi"/>
                <w:sz w:val="18"/>
                <w:szCs w:val="18"/>
              </w:rPr>
              <w:t>CC</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87A62C"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C+</w:t>
            </w:r>
          </w:p>
        </w:tc>
        <w:tc>
          <w:tcPr>
            <w:tcW w:w="1418" w:type="dxa"/>
            <w:tcBorders>
              <w:top w:val="single" w:sz="4" w:space="0" w:color="auto"/>
              <w:left w:val="single" w:sz="4" w:space="0" w:color="auto"/>
              <w:bottom w:val="single" w:sz="4" w:space="0" w:color="auto"/>
              <w:right w:val="single" w:sz="4" w:space="0" w:color="auto"/>
            </w:tcBorders>
          </w:tcPr>
          <w:p w14:paraId="3EFEA2C0" w14:textId="77777777" w:rsidR="004C2A5D" w:rsidRPr="003A18F8" w:rsidRDefault="004C2A5D" w:rsidP="002E788A">
            <w:pPr>
              <w:spacing w:line="240" w:lineRule="auto"/>
              <w:jc w:val="center"/>
              <w:rPr>
                <w:rFonts w:ascii="Gibson" w:hAnsi="Gibson" w:cstheme="minorHAnsi"/>
                <w:sz w:val="18"/>
                <w:szCs w:val="18"/>
                <w:lang w:val="es-ES_tradnl"/>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9B68581" w14:textId="6FBB508C"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5EDCC822"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643440D"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mxCC</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2D9663CA" w14:textId="77777777" w:rsidR="004C2A5D" w:rsidRPr="003A18F8" w:rsidRDefault="004C2A5D" w:rsidP="002E788A">
            <w:pPr>
              <w:spacing w:line="240" w:lineRule="auto"/>
              <w:jc w:val="center"/>
              <w:rPr>
                <w:rFonts w:ascii="Gibson" w:hAnsi="Gibson" w:cstheme="minorHAnsi"/>
                <w:sz w:val="18"/>
                <w:szCs w:val="18"/>
              </w:rPr>
            </w:pPr>
            <w:proofErr w:type="gramStart"/>
            <w:r w:rsidRPr="003A18F8">
              <w:rPr>
                <w:rFonts w:ascii="Gibson" w:hAnsi="Gibson" w:cstheme="minorHAnsi"/>
                <w:sz w:val="18"/>
                <w:szCs w:val="18"/>
              </w:rPr>
              <w:t>CC(</w:t>
            </w:r>
            <w:proofErr w:type="spellStart"/>
            <w:proofErr w:type="gramEnd"/>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D7F17A4" w14:textId="6D3CE2C2"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C</w:t>
            </w:r>
            <w:r w:rsidR="00470372">
              <w:rPr>
                <w:rFonts w:ascii="Gibson" w:hAnsi="Gibson" w:cstheme="minorHAnsi"/>
                <w:sz w:val="18"/>
                <w:szCs w:val="18"/>
              </w:rPr>
              <w:t>C</w:t>
            </w:r>
            <w:r w:rsidRPr="003A18F8">
              <w:rPr>
                <w:rFonts w:ascii="Gibson" w:hAnsi="Gibson" w:cstheme="minorHAnsi"/>
                <w:sz w:val="18"/>
                <w:szCs w:val="18"/>
              </w:rPr>
              <w:t>.mx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BAF7ED"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C</w:t>
            </w:r>
          </w:p>
        </w:tc>
        <w:tc>
          <w:tcPr>
            <w:tcW w:w="1418" w:type="dxa"/>
            <w:tcBorders>
              <w:top w:val="single" w:sz="4" w:space="0" w:color="auto"/>
              <w:left w:val="single" w:sz="4" w:space="0" w:color="auto"/>
              <w:bottom w:val="single" w:sz="4" w:space="0" w:color="auto"/>
              <w:right w:val="single" w:sz="4" w:space="0" w:color="auto"/>
            </w:tcBorders>
          </w:tcPr>
          <w:p w14:paraId="12C5F0A1" w14:textId="77777777" w:rsidR="004C2A5D" w:rsidRPr="003A18F8" w:rsidRDefault="004C2A5D" w:rsidP="002E788A">
            <w:pPr>
              <w:spacing w:line="240" w:lineRule="auto"/>
              <w:jc w:val="center"/>
              <w:rPr>
                <w:rFonts w:ascii="Gibson" w:hAnsi="Gibson" w:cstheme="minorHAnsi"/>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EAD0670" w14:textId="30B3BF69"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w:t>
            </w:r>
          </w:p>
        </w:tc>
      </w:tr>
      <w:tr w:rsidR="004C2A5D" w:rsidRPr="006D1E13" w14:paraId="4051BF7C"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6F6AB33"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mxC</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0129E1D"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C(</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48AF86"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C.mx</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82A497"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C-</w:t>
            </w:r>
          </w:p>
        </w:tc>
        <w:tc>
          <w:tcPr>
            <w:tcW w:w="1418" w:type="dxa"/>
            <w:tcBorders>
              <w:top w:val="single" w:sz="4" w:space="0" w:color="auto"/>
              <w:left w:val="single" w:sz="4" w:space="0" w:color="auto"/>
              <w:bottom w:val="single" w:sz="4" w:space="0" w:color="auto"/>
              <w:right w:val="single" w:sz="4" w:space="0" w:color="auto"/>
            </w:tcBorders>
            <w:hideMark/>
          </w:tcPr>
          <w:p w14:paraId="2EF0E08A"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C/M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E2E400" w14:textId="0A574A21"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40D75CEB"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B2BD45C" w14:textId="77777777" w:rsidR="004C2A5D" w:rsidRPr="003A18F8" w:rsidRDefault="004C2A5D" w:rsidP="002E788A">
            <w:pPr>
              <w:spacing w:line="240" w:lineRule="auto"/>
              <w:jc w:val="center"/>
              <w:rPr>
                <w:rFonts w:ascii="Gibson" w:hAnsi="Gibson" w:cstheme="minorHAnsi"/>
                <w:sz w:val="18"/>
                <w:szCs w:val="18"/>
              </w:rPr>
            </w:pPr>
            <w:proofErr w:type="spellStart"/>
            <w:r w:rsidRPr="003A18F8">
              <w:rPr>
                <w:rFonts w:ascii="Gibson" w:hAnsi="Gibson" w:cstheme="minorHAnsi"/>
                <w:sz w:val="18"/>
                <w:szCs w:val="18"/>
              </w:rPr>
              <w:t>mxD</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B7E9EDE"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D(</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43A1957F" w14:textId="77777777" w:rsidR="004C2A5D" w:rsidRPr="003A18F8" w:rsidRDefault="004C2A5D" w:rsidP="002E788A">
            <w:pPr>
              <w:spacing w:line="240" w:lineRule="auto"/>
              <w:jc w:val="center"/>
              <w:rPr>
                <w:rFonts w:ascii="Gibson" w:hAnsi="Gibson"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8F103E0"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HR D</w:t>
            </w:r>
          </w:p>
        </w:tc>
        <w:tc>
          <w:tcPr>
            <w:tcW w:w="1418" w:type="dxa"/>
            <w:tcBorders>
              <w:top w:val="single" w:sz="4" w:space="0" w:color="auto"/>
              <w:left w:val="single" w:sz="4" w:space="0" w:color="auto"/>
              <w:bottom w:val="single" w:sz="4" w:space="0" w:color="auto"/>
              <w:right w:val="single" w:sz="4" w:space="0" w:color="auto"/>
            </w:tcBorders>
            <w:hideMark/>
          </w:tcPr>
          <w:p w14:paraId="412E80F1"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D/M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156BDA" w14:textId="2A48272D"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p>
        </w:tc>
      </w:tr>
      <w:tr w:rsidR="004C2A5D" w:rsidRPr="006D1E13" w14:paraId="3E28FD99" w14:textId="77777777" w:rsidTr="006F44C0">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21146B3B" w14:textId="77777777" w:rsidR="004C2A5D" w:rsidRPr="003A18F8" w:rsidRDefault="004C2A5D" w:rsidP="002E788A">
            <w:pPr>
              <w:spacing w:line="240" w:lineRule="auto"/>
              <w:jc w:val="center"/>
              <w:rPr>
                <w:rFonts w:ascii="Gibson" w:hAnsi="Gibson"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7627154"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E(</w:t>
            </w:r>
            <w:proofErr w:type="spellStart"/>
            <w:r w:rsidRPr="003A18F8">
              <w:rPr>
                <w:rFonts w:ascii="Gibson" w:hAnsi="Gibson" w:cstheme="minorHAnsi"/>
                <w:sz w:val="18"/>
                <w:szCs w:val="18"/>
              </w:rPr>
              <w:t>mex</w:t>
            </w:r>
            <w:proofErr w:type="spellEnd"/>
            <w:r w:rsidRPr="003A18F8">
              <w:rPr>
                <w:rFonts w:ascii="Gibson" w:hAnsi="Gibson" w:cstheme="minorHAnsi"/>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06A27484" w14:textId="77777777" w:rsidR="004C2A5D" w:rsidRPr="003A18F8" w:rsidRDefault="004C2A5D" w:rsidP="002E788A">
            <w:pPr>
              <w:spacing w:line="240" w:lineRule="auto"/>
              <w:jc w:val="center"/>
              <w:rPr>
                <w:rFonts w:ascii="Gibson" w:hAnsi="Gibson"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15CACFE" w14:textId="77777777" w:rsidR="004C2A5D" w:rsidRPr="003A18F8" w:rsidRDefault="004C2A5D" w:rsidP="002E788A">
            <w:pPr>
              <w:spacing w:line="240" w:lineRule="auto"/>
              <w:jc w:val="center"/>
              <w:rPr>
                <w:rFonts w:ascii="Gibson" w:hAnsi="Gibson"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7B655939" w14:textId="77777777"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E/M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1CCE73" w14:textId="7FFF38B5" w:rsidR="004C2A5D" w:rsidRPr="003A18F8" w:rsidRDefault="004C2A5D" w:rsidP="002E788A">
            <w:pPr>
              <w:spacing w:line="240" w:lineRule="auto"/>
              <w:jc w:val="center"/>
              <w:rPr>
                <w:rFonts w:ascii="Gibson" w:hAnsi="Gibson" w:cstheme="minorHAnsi"/>
                <w:sz w:val="18"/>
                <w:szCs w:val="18"/>
                <w:lang w:val="es-MX"/>
              </w:rPr>
            </w:pPr>
            <w:r w:rsidRPr="003A18F8">
              <w:rPr>
                <w:rFonts w:ascii="Gibson" w:hAnsi="Gibson" w:cstheme="minorHAnsi"/>
                <w:sz w:val="18"/>
                <w:szCs w:val="18"/>
              </w:rPr>
              <w:t>[•</w:t>
            </w:r>
            <w:r w:rsidR="00960E4E" w:rsidRPr="003A18F8">
              <w:rPr>
                <w:rFonts w:ascii="Gibson" w:hAnsi="Gibson" w:cstheme="minorHAnsi"/>
                <w:sz w:val="18"/>
                <w:szCs w:val="18"/>
              </w:rPr>
              <w:t>]</w:t>
            </w:r>
          </w:p>
        </w:tc>
      </w:tr>
      <w:tr w:rsidR="004C2A5D" w:rsidRPr="006D1E13" w14:paraId="2618E03E" w14:textId="77777777" w:rsidTr="006F44C0">
        <w:trPr>
          <w:jc w:val="center"/>
        </w:trPr>
        <w:tc>
          <w:tcPr>
            <w:tcW w:w="7083" w:type="dxa"/>
            <w:gridSpan w:val="5"/>
            <w:tcBorders>
              <w:top w:val="single" w:sz="4" w:space="0" w:color="auto"/>
              <w:left w:val="single" w:sz="4" w:space="0" w:color="auto"/>
              <w:bottom w:val="single" w:sz="4" w:space="0" w:color="auto"/>
              <w:right w:val="single" w:sz="4" w:space="0" w:color="auto"/>
            </w:tcBorders>
            <w:vAlign w:val="center"/>
            <w:hideMark/>
          </w:tcPr>
          <w:p w14:paraId="4595BF1B" w14:textId="77777777" w:rsidR="004C2A5D" w:rsidRPr="003A18F8" w:rsidRDefault="004C2A5D" w:rsidP="002E788A">
            <w:pPr>
              <w:spacing w:line="240" w:lineRule="auto"/>
              <w:jc w:val="center"/>
              <w:rPr>
                <w:rFonts w:ascii="Gibson" w:hAnsi="Gibson" w:cstheme="minorHAnsi"/>
                <w:sz w:val="18"/>
                <w:szCs w:val="18"/>
              </w:rPr>
            </w:pPr>
            <w:r w:rsidRPr="003A18F8">
              <w:rPr>
                <w:rFonts w:ascii="Gibson" w:hAnsi="Gibson" w:cstheme="minorHAnsi"/>
                <w:sz w:val="18"/>
                <w:szCs w:val="18"/>
              </w:rPr>
              <w:t>No calificado</w:t>
            </w:r>
          </w:p>
        </w:tc>
        <w:tc>
          <w:tcPr>
            <w:tcW w:w="1843" w:type="dxa"/>
            <w:tcBorders>
              <w:top w:val="single" w:sz="4" w:space="0" w:color="auto"/>
              <w:left w:val="single" w:sz="4" w:space="0" w:color="auto"/>
              <w:bottom w:val="single" w:sz="4" w:space="0" w:color="auto"/>
              <w:right w:val="single" w:sz="4" w:space="0" w:color="auto"/>
            </w:tcBorders>
            <w:hideMark/>
          </w:tcPr>
          <w:p w14:paraId="1CD15790" w14:textId="4B336789" w:rsidR="004C2A5D" w:rsidRPr="003A18F8" w:rsidRDefault="004C2A5D" w:rsidP="002E788A">
            <w:pPr>
              <w:spacing w:line="240" w:lineRule="auto"/>
              <w:jc w:val="center"/>
              <w:rPr>
                <w:rFonts w:ascii="Gibson" w:hAnsi="Gibson" w:cstheme="minorHAnsi"/>
                <w:sz w:val="18"/>
                <w:szCs w:val="18"/>
                <w:lang w:val="es-ES_tradnl"/>
              </w:rPr>
            </w:pPr>
            <w:r w:rsidRPr="003A18F8">
              <w:rPr>
                <w:rFonts w:ascii="Gibson" w:hAnsi="Gibson" w:cstheme="minorHAnsi"/>
                <w:sz w:val="18"/>
                <w:szCs w:val="18"/>
              </w:rPr>
              <w:t>[•]</w:t>
            </w:r>
          </w:p>
        </w:tc>
      </w:tr>
    </w:tbl>
    <w:p w14:paraId="235F7574" w14:textId="77777777" w:rsidR="004C2A5D" w:rsidRPr="006D1E13" w:rsidRDefault="004C2A5D" w:rsidP="004C2A5D">
      <w:pPr>
        <w:spacing w:line="240" w:lineRule="auto"/>
        <w:rPr>
          <w:rFonts w:ascii="Gibson" w:hAnsi="Gibson" w:cstheme="minorHAnsi"/>
          <w:sz w:val="22"/>
          <w:szCs w:val="22"/>
          <w:lang w:val="es-MX"/>
        </w:rPr>
      </w:pPr>
    </w:p>
    <w:p w14:paraId="2029AF32" w14:textId="77777777" w:rsidR="004C2A5D" w:rsidRPr="006D1E13" w:rsidRDefault="004C2A5D" w:rsidP="004C2A5D">
      <w:pPr>
        <w:spacing w:line="240" w:lineRule="auto"/>
        <w:jc w:val="center"/>
        <w:rPr>
          <w:rFonts w:ascii="Gibson" w:hAnsi="Gibson" w:cstheme="minorHAnsi"/>
          <w:b/>
          <w:sz w:val="22"/>
          <w:szCs w:val="22"/>
          <w:lang w:val="es-MX"/>
        </w:rPr>
      </w:pPr>
      <w:r w:rsidRPr="006D1E13">
        <w:rPr>
          <w:rFonts w:ascii="Gibson" w:hAnsi="Gibson" w:cstheme="minorHAnsi"/>
          <w:b/>
          <w:sz w:val="22"/>
          <w:szCs w:val="22"/>
          <w:lang w:val="es-MX"/>
        </w:rPr>
        <w:t>Otros términos y condiciones de la Oferta de Crédito</w:t>
      </w:r>
    </w:p>
    <w:p w14:paraId="7A32D2A6" w14:textId="77777777" w:rsidR="004C2A5D" w:rsidRPr="006D1E13" w:rsidRDefault="004C2A5D" w:rsidP="004C2A5D">
      <w:pPr>
        <w:spacing w:line="240" w:lineRule="auto"/>
        <w:jc w:val="center"/>
        <w:rPr>
          <w:rFonts w:ascii="Gibson" w:hAnsi="Gibson" w:cstheme="minorHAnsi"/>
          <w:i/>
          <w:sz w:val="22"/>
          <w:szCs w:val="22"/>
          <w:lang w:val="es-MX"/>
        </w:rPr>
      </w:pPr>
      <w:r w:rsidRPr="006D1E13">
        <w:rPr>
          <w:rFonts w:ascii="Gibson" w:hAnsi="Gibson" w:cstheme="minorHAnsi"/>
          <w:i/>
          <w:sz w:val="22"/>
          <w:szCs w:val="22"/>
          <w:lang w:val="es-MX"/>
        </w:rPr>
        <w:t xml:space="preserve">[este apartado </w:t>
      </w:r>
      <w:r w:rsidRPr="006D1E13">
        <w:rPr>
          <w:rFonts w:ascii="Gibson" w:hAnsi="Gibson" w:cstheme="minorHAnsi"/>
          <w:i/>
          <w:sz w:val="22"/>
          <w:szCs w:val="22"/>
          <w:u w:val="single"/>
          <w:lang w:val="es-MX"/>
        </w:rPr>
        <w:t>no puede ser modificado</w:t>
      </w:r>
      <w:r w:rsidRPr="006D1E13">
        <w:rPr>
          <w:rFonts w:ascii="Gibson" w:hAnsi="Gibson" w:cstheme="minorHAnsi"/>
          <w:i/>
          <w:sz w:val="22"/>
          <w:szCs w:val="22"/>
          <w:lang w:val="es-MX"/>
        </w:rPr>
        <w:t xml:space="preserve"> por los Licitantes]</w:t>
      </w:r>
    </w:p>
    <w:p w14:paraId="0AC82112" w14:textId="77777777" w:rsidR="004C2A5D" w:rsidRPr="006D1E13" w:rsidRDefault="004C2A5D" w:rsidP="004C2A5D">
      <w:pPr>
        <w:spacing w:line="240" w:lineRule="auto"/>
        <w:jc w:val="center"/>
        <w:rPr>
          <w:rFonts w:ascii="Gibson" w:hAnsi="Gibson" w:cstheme="minorHAnsi"/>
          <w:b/>
          <w:sz w:val="22"/>
          <w:szCs w:val="22"/>
          <w:lang w:val="es-MX"/>
        </w:rPr>
      </w:pPr>
    </w:p>
    <w:tbl>
      <w:tblPr>
        <w:tblStyle w:val="Tablaconcuadrcula"/>
        <w:tblW w:w="8931" w:type="dxa"/>
        <w:tblInd w:w="-5" w:type="dxa"/>
        <w:tblLook w:val="04A0" w:firstRow="1" w:lastRow="0" w:firstColumn="1" w:lastColumn="0" w:noHBand="0" w:noVBand="1"/>
      </w:tblPr>
      <w:tblGrid>
        <w:gridCol w:w="2694"/>
        <w:gridCol w:w="6237"/>
      </w:tblGrid>
      <w:tr w:rsidR="004C2A5D" w:rsidRPr="006D1E13" w14:paraId="228AB084" w14:textId="77777777" w:rsidTr="006F44C0">
        <w:tc>
          <w:tcPr>
            <w:tcW w:w="2694" w:type="dxa"/>
            <w:tcBorders>
              <w:top w:val="single" w:sz="4" w:space="0" w:color="auto"/>
              <w:left w:val="single" w:sz="4" w:space="0" w:color="auto"/>
              <w:bottom w:val="single" w:sz="4" w:space="0" w:color="auto"/>
              <w:right w:val="single" w:sz="4" w:space="0" w:color="auto"/>
            </w:tcBorders>
          </w:tcPr>
          <w:p w14:paraId="3AA95F45" w14:textId="77777777" w:rsidR="004C2A5D" w:rsidRPr="002F38EC" w:rsidRDefault="004C2A5D" w:rsidP="002F38EC">
            <w:pPr>
              <w:spacing w:line="240" w:lineRule="auto"/>
              <w:jc w:val="left"/>
              <w:rPr>
                <w:rFonts w:ascii="Gibson" w:hAnsi="Gibson" w:cstheme="minorHAnsi"/>
                <w:b/>
                <w:lang w:val="es-MX"/>
              </w:rPr>
            </w:pPr>
            <w:r w:rsidRPr="002F38EC">
              <w:rPr>
                <w:rFonts w:ascii="Gibson" w:hAnsi="Gibson" w:cstheme="minorHAnsi"/>
                <w:b/>
                <w:lang w:val="es-MX"/>
              </w:rPr>
              <w:t>Tipo de financiamiento:</w:t>
            </w:r>
          </w:p>
          <w:p w14:paraId="0EB8A898" w14:textId="77777777" w:rsidR="004C2A5D" w:rsidRPr="002F38EC" w:rsidRDefault="004C2A5D" w:rsidP="002F38EC">
            <w:pPr>
              <w:spacing w:line="240" w:lineRule="auto"/>
              <w:jc w:val="left"/>
              <w:rPr>
                <w:rFonts w:ascii="Gibson" w:hAnsi="Gibson" w:cstheme="minorHAnsi"/>
                <w:b/>
                <w:lang w:val="es-MX"/>
              </w:rPr>
            </w:pPr>
          </w:p>
        </w:tc>
        <w:tc>
          <w:tcPr>
            <w:tcW w:w="6237" w:type="dxa"/>
            <w:tcBorders>
              <w:top w:val="single" w:sz="4" w:space="0" w:color="auto"/>
              <w:left w:val="single" w:sz="4" w:space="0" w:color="auto"/>
              <w:bottom w:val="single" w:sz="4" w:space="0" w:color="auto"/>
              <w:right w:val="single" w:sz="4" w:space="0" w:color="auto"/>
            </w:tcBorders>
          </w:tcPr>
          <w:p w14:paraId="5D28907B" w14:textId="77777777" w:rsidR="004C2A5D" w:rsidRPr="002F38EC" w:rsidRDefault="004C2A5D" w:rsidP="002E788A">
            <w:pPr>
              <w:spacing w:line="240" w:lineRule="auto"/>
              <w:rPr>
                <w:rFonts w:ascii="Gibson" w:hAnsi="Gibson" w:cstheme="minorHAnsi"/>
                <w:lang w:val="es-MX"/>
              </w:rPr>
            </w:pPr>
            <w:r w:rsidRPr="002F38EC">
              <w:rPr>
                <w:rFonts w:ascii="Gibson" w:hAnsi="Gibson" w:cstheme="minorHAnsi"/>
                <w:lang w:val="es-MX"/>
              </w:rPr>
              <w:lastRenderedPageBreak/>
              <w:t>Contrato de apertura de crédito simple.</w:t>
            </w:r>
          </w:p>
          <w:p w14:paraId="783BA089" w14:textId="77777777" w:rsidR="004C2A5D" w:rsidRPr="002F38EC" w:rsidRDefault="004C2A5D" w:rsidP="002E788A">
            <w:pPr>
              <w:spacing w:line="240" w:lineRule="auto"/>
              <w:rPr>
                <w:rFonts w:ascii="Gibson" w:hAnsi="Gibson" w:cstheme="minorHAnsi"/>
                <w:lang w:val="es-MX"/>
              </w:rPr>
            </w:pPr>
          </w:p>
        </w:tc>
      </w:tr>
      <w:tr w:rsidR="00A55CBE" w:rsidRPr="006D1E13" w14:paraId="79F61C41" w14:textId="77777777" w:rsidTr="006F44C0">
        <w:trPr>
          <w:trHeight w:val="558"/>
        </w:trPr>
        <w:tc>
          <w:tcPr>
            <w:tcW w:w="2694" w:type="dxa"/>
            <w:tcBorders>
              <w:top w:val="single" w:sz="4" w:space="0" w:color="auto"/>
              <w:left w:val="single" w:sz="4" w:space="0" w:color="auto"/>
              <w:bottom w:val="single" w:sz="4" w:space="0" w:color="auto"/>
              <w:right w:val="single" w:sz="4" w:space="0" w:color="auto"/>
            </w:tcBorders>
          </w:tcPr>
          <w:p w14:paraId="5AB7E02E" w14:textId="1597AD20" w:rsidR="00A55CBE" w:rsidRPr="002F38EC" w:rsidRDefault="00A55CBE" w:rsidP="002F38EC">
            <w:pPr>
              <w:spacing w:line="240" w:lineRule="auto"/>
              <w:jc w:val="left"/>
              <w:rPr>
                <w:rFonts w:ascii="Gibson" w:hAnsi="Gibson" w:cstheme="minorHAnsi"/>
                <w:b/>
                <w:lang w:val="es-MX"/>
              </w:rPr>
            </w:pPr>
            <w:r w:rsidRPr="00A55CBE">
              <w:rPr>
                <w:rFonts w:ascii="Gibson" w:hAnsi="Gibson" w:cstheme="minorHAnsi"/>
                <w:b/>
                <w:lang w:val="es-MX"/>
              </w:rPr>
              <w:lastRenderedPageBreak/>
              <w:t>Ente Público Contratante o el Acreditado</w:t>
            </w:r>
            <w:r>
              <w:rPr>
                <w:rFonts w:ascii="Gibson" w:hAnsi="Gibson" w:cstheme="minorHAnsi"/>
                <w:b/>
                <w:lang w:val="es-MX"/>
              </w:rPr>
              <w:t>:</w:t>
            </w:r>
          </w:p>
        </w:tc>
        <w:tc>
          <w:tcPr>
            <w:tcW w:w="6237" w:type="dxa"/>
            <w:tcBorders>
              <w:top w:val="single" w:sz="4" w:space="0" w:color="auto"/>
              <w:left w:val="single" w:sz="4" w:space="0" w:color="auto"/>
              <w:bottom w:val="single" w:sz="4" w:space="0" w:color="auto"/>
              <w:right w:val="single" w:sz="4" w:space="0" w:color="auto"/>
            </w:tcBorders>
          </w:tcPr>
          <w:p w14:paraId="5B201C9A" w14:textId="09F07C13" w:rsidR="00A55CBE" w:rsidRDefault="009D02DB" w:rsidP="0065476F">
            <w:pPr>
              <w:spacing w:line="240" w:lineRule="auto"/>
              <w:rPr>
                <w:rFonts w:ascii="Gibson" w:hAnsi="Gibson" w:cstheme="minorHAnsi"/>
                <w:lang w:val="es-MX"/>
              </w:rPr>
            </w:pPr>
            <w:r>
              <w:rPr>
                <w:rFonts w:ascii="Gibson" w:hAnsi="Gibson" w:cstheme="minorHAnsi"/>
                <w:lang w:val="es-MX"/>
              </w:rPr>
              <w:t>E</w:t>
            </w:r>
            <w:r w:rsidR="008C692B" w:rsidRPr="008C692B">
              <w:rPr>
                <w:rFonts w:ascii="Gibson" w:hAnsi="Gibson" w:cstheme="minorHAnsi"/>
                <w:lang w:val="es-MX"/>
              </w:rPr>
              <w:t>l Gobierno del Estado Libre y Soberano de Michoacán de Ocampo a través del Poder Ejecutivo, y por conducto de la Secretaría de Finanzas y Administración del Gobierno del Estado de Michoacán de Ocampo</w:t>
            </w:r>
          </w:p>
        </w:tc>
      </w:tr>
      <w:tr w:rsidR="004C2A5D" w:rsidRPr="006D1E13" w14:paraId="23C964B8" w14:textId="77777777" w:rsidTr="006F44C0">
        <w:trPr>
          <w:trHeight w:val="558"/>
        </w:trPr>
        <w:tc>
          <w:tcPr>
            <w:tcW w:w="2694" w:type="dxa"/>
            <w:tcBorders>
              <w:top w:val="single" w:sz="4" w:space="0" w:color="auto"/>
              <w:left w:val="single" w:sz="4" w:space="0" w:color="auto"/>
              <w:bottom w:val="single" w:sz="4" w:space="0" w:color="auto"/>
              <w:right w:val="single" w:sz="4" w:space="0" w:color="auto"/>
            </w:tcBorders>
          </w:tcPr>
          <w:p w14:paraId="7BD89413" w14:textId="77777777" w:rsidR="004C2A5D" w:rsidRPr="002F38EC" w:rsidRDefault="004C2A5D" w:rsidP="002F38EC">
            <w:pPr>
              <w:spacing w:line="240" w:lineRule="auto"/>
              <w:jc w:val="left"/>
              <w:rPr>
                <w:rFonts w:ascii="Gibson" w:hAnsi="Gibson" w:cstheme="minorHAnsi"/>
                <w:b/>
                <w:lang w:val="es-MX"/>
              </w:rPr>
            </w:pPr>
            <w:r w:rsidRPr="002F38EC">
              <w:rPr>
                <w:rFonts w:ascii="Gibson" w:hAnsi="Gibson" w:cstheme="minorHAnsi"/>
                <w:b/>
                <w:lang w:val="es-MX"/>
              </w:rPr>
              <w:t>Destino:</w:t>
            </w:r>
          </w:p>
          <w:p w14:paraId="3EB58D38" w14:textId="77777777" w:rsidR="004C2A5D" w:rsidRPr="002F38EC" w:rsidRDefault="004C2A5D" w:rsidP="002F38EC">
            <w:pPr>
              <w:spacing w:line="240" w:lineRule="auto"/>
              <w:jc w:val="left"/>
              <w:rPr>
                <w:rFonts w:ascii="Gibson" w:hAnsi="Gibson" w:cstheme="minorHAnsi"/>
                <w:b/>
                <w:lang w:val="es-MX"/>
              </w:rPr>
            </w:pPr>
          </w:p>
        </w:tc>
        <w:tc>
          <w:tcPr>
            <w:tcW w:w="6237" w:type="dxa"/>
            <w:tcBorders>
              <w:top w:val="single" w:sz="4" w:space="0" w:color="auto"/>
              <w:left w:val="single" w:sz="4" w:space="0" w:color="auto"/>
              <w:bottom w:val="single" w:sz="4" w:space="0" w:color="auto"/>
              <w:right w:val="single" w:sz="4" w:space="0" w:color="auto"/>
            </w:tcBorders>
          </w:tcPr>
          <w:p w14:paraId="395ED1EC" w14:textId="7621F9C9" w:rsidR="0065476F" w:rsidRPr="0065476F" w:rsidRDefault="0065476F" w:rsidP="0065476F">
            <w:pPr>
              <w:spacing w:line="240" w:lineRule="auto"/>
              <w:rPr>
                <w:rFonts w:ascii="Gibson" w:hAnsi="Gibson" w:cstheme="minorHAnsi"/>
                <w:lang w:val="es-MX"/>
              </w:rPr>
            </w:pPr>
            <w:r>
              <w:rPr>
                <w:rFonts w:ascii="Gibson" w:hAnsi="Gibson" w:cstheme="minorHAnsi"/>
                <w:lang w:val="es-MX"/>
              </w:rPr>
              <w:t>A</w:t>
            </w:r>
            <w:r w:rsidRPr="0065476F">
              <w:rPr>
                <w:rFonts w:ascii="Gibson" w:hAnsi="Gibson" w:cstheme="minorHAnsi"/>
                <w:lang w:val="es-MX"/>
              </w:rPr>
              <w:t>l financiamiento, incluido en su caso el Impuesto al Valor Agregado, de Inversión Pública Productiva destinada a la construcción, reconstrucción, ampliación y conservación de infraestructura física o, en su caso, inversión para la adquisición de bienes cuyo objeto sea el equipamiento de dicha infraestructura física, en cualquiera de los rubros de inversión siguientes: 5000 «BIENES MUEBLES, INMUEBLES E INTANGIBLES»; 5300 «EQUIPO E INSTRUMENTAL MÉDICO Y DE LABORATORIO», en las partidas genéricas 531 «EQUIPO MÉDICO Y DE LABORATORIO» y 532 «INSTRUMENTAL MÉDICO Y DE LABORATORIO»; 5600 «MAQUINARIA, OTROS EQUIPOS Y HERRAMIENTAS» en las partidas genéricas 563 «Maquinaria y equipo de construcción», 566 «Equipos de generación eléctrica, aparatos y accesorios eléctricos», 5800 «BIENES INMUEBLES», en las partidas genéricas 581 «Terrenos» y 583 «Edificios no residenciales», así como en el rubro 6000 «INVERSIÓN PÚBLICA»; 6100 «OBRA PÚBLICA EN BIENES DE DOMINIO PÚBLICO», en las partidas genéricas 612 «Edificación no habitacional», 613 «Construcción de obras para el abastecimiento de agua, petróleo, gas, electricidad y telecomunicaciones», 615 «Construcción de vías de comunicación», 616 «Otras construcciones de ingeniería civil u obra pesada» 617 «Instalaciones y equipamiento en construcciones», 619 «Trabajos de acabados en edificaciones y otros trabajos especializados», según se describen dichos conceptos en el Clasificador por Objeto del Gasto emitido por el Consejo Nacional de Armonización Contable; en el entendido de que deberán estar comprendidas en la definición de Inversión pública productiva en términos del artículo 2, fracción XXV, de la Ley de Disciplina Financiera de las Entidades Federativas y los Municipios. Lo anterior, de conformidad con lo previsto por el artículo 117, fracción VIII, de la Constitución Política de los Estados Unidos Mexicanos, los artículos 47 y 50 de la Ley de Coordinación Fiscal, así como el artículo 2, fracción XXV, y 22, primer párrafo de la Ley de Disciplina Financiera de las Entidades Federativas y los Municipios.</w:t>
            </w:r>
          </w:p>
          <w:p w14:paraId="05A81032" w14:textId="77777777" w:rsidR="0065476F" w:rsidRPr="0065476F" w:rsidRDefault="0065476F" w:rsidP="0065476F">
            <w:pPr>
              <w:spacing w:line="240" w:lineRule="auto"/>
              <w:rPr>
                <w:rFonts w:ascii="Gibson" w:hAnsi="Gibson" w:cstheme="minorHAnsi"/>
                <w:lang w:val="es-MX"/>
              </w:rPr>
            </w:pPr>
          </w:p>
          <w:p w14:paraId="1B821041" w14:textId="77777777" w:rsidR="0065476F" w:rsidRPr="0065476F" w:rsidRDefault="0065476F" w:rsidP="0065476F">
            <w:pPr>
              <w:spacing w:line="240" w:lineRule="auto"/>
              <w:rPr>
                <w:rFonts w:ascii="Gibson" w:hAnsi="Gibson" w:cstheme="minorHAnsi"/>
                <w:lang w:val="es-MX"/>
              </w:rPr>
            </w:pPr>
            <w:r w:rsidRPr="0065476F">
              <w:rPr>
                <w:rFonts w:ascii="Gibson" w:hAnsi="Gibson" w:cstheme="minorHAnsi"/>
                <w:lang w:val="es-MX"/>
              </w:rPr>
              <w:t xml:space="preserve">Lo anterior, en el entendido que si por imposibilidad jurídica o material, retrasos en la asignación de los proyectos, o bien, en el caso de economías en los procesos de adjudicación y desarrollo de las obras, el Titular del Poder Ejecutivo podrá, a través de la Secretaría de Finanzas y Administración, destinar el recurso del Financiamiento previsto para determinado rubro de inversión, a otro de los rubros de inversión antes señalados, siempre y cuando no se rebase el Monto Total de Financiamiento Solicitado. </w:t>
            </w:r>
          </w:p>
          <w:p w14:paraId="67B64908" w14:textId="77777777" w:rsidR="0065476F" w:rsidRPr="0065476F" w:rsidRDefault="0065476F" w:rsidP="0065476F">
            <w:pPr>
              <w:spacing w:line="240" w:lineRule="auto"/>
              <w:rPr>
                <w:rFonts w:ascii="Gibson" w:hAnsi="Gibson" w:cstheme="minorHAnsi"/>
                <w:lang w:val="es-MX"/>
              </w:rPr>
            </w:pPr>
          </w:p>
          <w:p w14:paraId="66CB6408" w14:textId="571C9351" w:rsidR="004C2A5D" w:rsidRPr="002F38EC" w:rsidRDefault="0065476F" w:rsidP="0065476F">
            <w:pPr>
              <w:spacing w:line="240" w:lineRule="auto"/>
              <w:rPr>
                <w:rFonts w:ascii="Gibson" w:hAnsi="Gibson" w:cstheme="minorHAnsi"/>
                <w:i/>
                <w:lang w:val="es-MX"/>
              </w:rPr>
            </w:pPr>
            <w:r w:rsidRPr="0065476F">
              <w:rPr>
                <w:rFonts w:ascii="Gibson" w:hAnsi="Gibson" w:cstheme="minorHAnsi"/>
                <w:lang w:val="es-MX"/>
              </w:rPr>
              <w:t>El Destino del Financiamiento no incluye Gastos y Costos relacionados con la Contratación.</w:t>
            </w:r>
          </w:p>
        </w:tc>
      </w:tr>
      <w:tr w:rsidR="004C2A5D" w:rsidRPr="006D1E13" w14:paraId="1C55C894" w14:textId="77777777" w:rsidTr="006F44C0">
        <w:trPr>
          <w:trHeight w:val="408"/>
        </w:trPr>
        <w:tc>
          <w:tcPr>
            <w:tcW w:w="2694" w:type="dxa"/>
            <w:tcBorders>
              <w:top w:val="single" w:sz="4" w:space="0" w:color="auto"/>
              <w:left w:val="single" w:sz="4" w:space="0" w:color="auto"/>
              <w:bottom w:val="single" w:sz="4" w:space="0" w:color="auto"/>
              <w:right w:val="single" w:sz="4" w:space="0" w:color="auto"/>
            </w:tcBorders>
            <w:hideMark/>
          </w:tcPr>
          <w:p w14:paraId="0029AA35" w14:textId="77777777" w:rsidR="004C2A5D" w:rsidRPr="002F38EC" w:rsidRDefault="004C2A5D" w:rsidP="002F38EC">
            <w:pPr>
              <w:spacing w:line="240" w:lineRule="auto"/>
              <w:jc w:val="left"/>
              <w:rPr>
                <w:rFonts w:ascii="Gibson" w:hAnsi="Gibson" w:cstheme="minorHAnsi"/>
                <w:b/>
                <w:lang w:val="es-MX"/>
              </w:rPr>
            </w:pPr>
            <w:r w:rsidRPr="002F38EC">
              <w:rPr>
                <w:rFonts w:ascii="Gibson" w:hAnsi="Gibson" w:cstheme="minorHAnsi"/>
                <w:b/>
                <w:lang w:val="es-MX"/>
              </w:rPr>
              <w:t>Plazo del Financiamiento:</w:t>
            </w:r>
          </w:p>
        </w:tc>
        <w:tc>
          <w:tcPr>
            <w:tcW w:w="6237" w:type="dxa"/>
            <w:tcBorders>
              <w:top w:val="single" w:sz="4" w:space="0" w:color="auto"/>
              <w:left w:val="single" w:sz="4" w:space="0" w:color="auto"/>
              <w:bottom w:val="single" w:sz="4" w:space="0" w:color="auto"/>
              <w:right w:val="single" w:sz="4" w:space="0" w:color="auto"/>
            </w:tcBorders>
          </w:tcPr>
          <w:p w14:paraId="77303A70" w14:textId="580BC755" w:rsidR="0065476F" w:rsidRPr="0065476F" w:rsidRDefault="0065476F" w:rsidP="0065476F">
            <w:pPr>
              <w:spacing w:line="240" w:lineRule="auto"/>
              <w:rPr>
                <w:rFonts w:ascii="Gibson" w:hAnsi="Gibson" w:cstheme="minorHAnsi"/>
                <w:lang w:val="es-MX"/>
              </w:rPr>
            </w:pPr>
            <w:r>
              <w:rPr>
                <w:rFonts w:ascii="Gibson" w:hAnsi="Gibson" w:cstheme="minorHAnsi"/>
                <w:lang w:val="es-MX"/>
              </w:rPr>
              <w:t>H</w:t>
            </w:r>
            <w:r w:rsidRPr="0065476F">
              <w:rPr>
                <w:rFonts w:ascii="Gibson" w:hAnsi="Gibson" w:cstheme="minorHAnsi"/>
                <w:lang w:val="es-MX"/>
              </w:rPr>
              <w:t xml:space="preserve">asta 37 (treinta y siete) meses contados a partir de la fecha de formalización del contrato de crédito simple respectivo, sin rebasar en ningún caso la fecha de vencimiento máxima del Financiamiento </w:t>
            </w:r>
            <w:r w:rsidRPr="0065476F">
              <w:rPr>
                <w:rFonts w:ascii="Gibson" w:hAnsi="Gibson" w:cstheme="minorHAnsi"/>
                <w:lang w:val="es-MX"/>
              </w:rPr>
              <w:lastRenderedPageBreak/>
              <w:t xml:space="preserve">que será el día </w:t>
            </w:r>
            <w:r w:rsidR="002D322D">
              <w:rPr>
                <w:rFonts w:ascii="Gibson" w:hAnsi="Gibson" w:cstheme="minorHAnsi"/>
                <w:lang w:val="es-MX"/>
              </w:rPr>
              <w:t>3</w:t>
            </w:r>
            <w:r w:rsidRPr="0065476F">
              <w:rPr>
                <w:rFonts w:ascii="Gibson" w:hAnsi="Gibson" w:cstheme="minorHAnsi"/>
                <w:lang w:val="es-MX"/>
              </w:rPr>
              <w:t xml:space="preserve">1 de </w:t>
            </w:r>
            <w:r w:rsidR="002D322D">
              <w:rPr>
                <w:rFonts w:ascii="Gibson" w:hAnsi="Gibson" w:cstheme="minorHAnsi"/>
                <w:lang w:val="es-MX"/>
              </w:rPr>
              <w:t>agosto</w:t>
            </w:r>
            <w:r w:rsidR="002D322D" w:rsidRPr="0065476F">
              <w:rPr>
                <w:rFonts w:ascii="Gibson" w:hAnsi="Gibson" w:cstheme="minorHAnsi"/>
                <w:lang w:val="es-MX"/>
              </w:rPr>
              <w:t xml:space="preserve"> </w:t>
            </w:r>
            <w:r w:rsidRPr="0065476F">
              <w:rPr>
                <w:rFonts w:ascii="Gibson" w:hAnsi="Gibson" w:cstheme="minorHAnsi"/>
                <w:lang w:val="es-MX"/>
              </w:rPr>
              <w:t xml:space="preserve">de 2027, en términos del Modelo de Contrato de Crédito. </w:t>
            </w:r>
          </w:p>
          <w:p w14:paraId="103ED26D" w14:textId="77777777" w:rsidR="0065476F" w:rsidRPr="0065476F" w:rsidRDefault="0065476F" w:rsidP="0065476F">
            <w:pPr>
              <w:spacing w:line="240" w:lineRule="auto"/>
              <w:rPr>
                <w:rFonts w:ascii="Gibson" w:hAnsi="Gibson" w:cstheme="minorHAnsi"/>
                <w:lang w:val="es-MX"/>
              </w:rPr>
            </w:pPr>
          </w:p>
          <w:p w14:paraId="3CEAF214" w14:textId="56EAE5B0" w:rsidR="004C2A5D" w:rsidRPr="002F38EC" w:rsidRDefault="0065476F" w:rsidP="0065476F">
            <w:pPr>
              <w:spacing w:line="240" w:lineRule="auto"/>
              <w:rPr>
                <w:rFonts w:ascii="Gibson" w:hAnsi="Gibson" w:cstheme="minorHAnsi"/>
                <w:lang w:val="es-MX"/>
              </w:rPr>
            </w:pPr>
            <w:r w:rsidRPr="0065476F">
              <w:rPr>
                <w:rFonts w:ascii="Gibson" w:hAnsi="Gibson" w:cstheme="minorHAnsi"/>
                <w:lang w:val="es-MX"/>
              </w:rPr>
              <w:t xml:space="preserve"> Lo anterior, en el entendido de que el plazo que se establezca en el Contrato de Crédito será el determinado por la fecha de suscripción del contrato de crédito simple respectivo y el </w:t>
            </w:r>
            <w:r w:rsidR="002D322D">
              <w:rPr>
                <w:rFonts w:ascii="Gibson" w:hAnsi="Gibson" w:cstheme="minorHAnsi"/>
                <w:lang w:val="es-MX"/>
              </w:rPr>
              <w:t>3</w:t>
            </w:r>
            <w:r w:rsidRPr="0065476F">
              <w:rPr>
                <w:rFonts w:ascii="Gibson" w:hAnsi="Gibson" w:cstheme="minorHAnsi"/>
                <w:lang w:val="es-MX"/>
              </w:rPr>
              <w:t xml:space="preserve">1 de </w:t>
            </w:r>
            <w:r w:rsidR="002D322D">
              <w:rPr>
                <w:rFonts w:ascii="Gibson" w:hAnsi="Gibson" w:cstheme="minorHAnsi"/>
                <w:lang w:val="es-MX"/>
              </w:rPr>
              <w:t>agosto</w:t>
            </w:r>
            <w:r w:rsidR="002D322D" w:rsidRPr="0065476F">
              <w:rPr>
                <w:rFonts w:ascii="Gibson" w:hAnsi="Gibson" w:cstheme="minorHAnsi"/>
                <w:lang w:val="es-MX"/>
              </w:rPr>
              <w:t xml:space="preserve"> </w:t>
            </w:r>
            <w:r w:rsidRPr="0065476F">
              <w:rPr>
                <w:rFonts w:ascii="Gibson" w:hAnsi="Gibson" w:cstheme="minorHAnsi"/>
                <w:lang w:val="es-MX"/>
              </w:rPr>
              <w:t>de 2027, pero en ningún caso podrá ser mayor a 37 (treinta y siete) meses.</w:t>
            </w:r>
          </w:p>
        </w:tc>
      </w:tr>
    </w:tbl>
    <w:p w14:paraId="36FDC0C1" w14:textId="3FD88E32" w:rsidR="002F38EC" w:rsidRDefault="002F38EC"/>
    <w:p w14:paraId="71D3E515" w14:textId="77777777" w:rsidR="002F38EC" w:rsidRDefault="002F38EC"/>
    <w:tbl>
      <w:tblPr>
        <w:tblStyle w:val="Tablaconcuadrcula"/>
        <w:tblW w:w="8931" w:type="dxa"/>
        <w:tblInd w:w="-5" w:type="dxa"/>
        <w:tblLook w:val="04A0" w:firstRow="1" w:lastRow="0" w:firstColumn="1" w:lastColumn="0" w:noHBand="0" w:noVBand="1"/>
      </w:tblPr>
      <w:tblGrid>
        <w:gridCol w:w="2694"/>
        <w:gridCol w:w="6237"/>
      </w:tblGrid>
      <w:tr w:rsidR="00350786" w:rsidRPr="006D1E13" w14:paraId="2B20C403" w14:textId="77777777" w:rsidTr="00BF628F">
        <w:tc>
          <w:tcPr>
            <w:tcW w:w="2694" w:type="dxa"/>
            <w:tcBorders>
              <w:top w:val="single" w:sz="4" w:space="0" w:color="auto"/>
              <w:left w:val="single" w:sz="4" w:space="0" w:color="auto"/>
              <w:bottom w:val="single" w:sz="4" w:space="0" w:color="auto"/>
              <w:right w:val="single" w:sz="4" w:space="0" w:color="auto"/>
            </w:tcBorders>
          </w:tcPr>
          <w:p w14:paraId="7A77EBEB" w14:textId="2D068DCE" w:rsidR="00350786" w:rsidRPr="002F38EC" w:rsidRDefault="00350786" w:rsidP="002F38EC">
            <w:pPr>
              <w:spacing w:line="240" w:lineRule="auto"/>
              <w:jc w:val="left"/>
              <w:rPr>
                <w:rFonts w:ascii="Gibson" w:hAnsi="Gibson" w:cstheme="minorHAnsi"/>
                <w:b/>
                <w:lang w:val="es-MX"/>
              </w:rPr>
            </w:pPr>
            <w:r>
              <w:rPr>
                <w:rFonts w:ascii="Gibson" w:hAnsi="Gibson" w:cstheme="minorHAnsi"/>
                <w:b/>
                <w:lang w:val="es-MX"/>
              </w:rPr>
              <w:t>Plazo de Amortización:</w:t>
            </w:r>
          </w:p>
        </w:tc>
        <w:tc>
          <w:tcPr>
            <w:tcW w:w="6237" w:type="dxa"/>
            <w:tcBorders>
              <w:top w:val="single" w:sz="4" w:space="0" w:color="auto"/>
              <w:left w:val="single" w:sz="4" w:space="0" w:color="auto"/>
              <w:bottom w:val="single" w:sz="4" w:space="0" w:color="auto"/>
              <w:right w:val="single" w:sz="4" w:space="0" w:color="auto"/>
            </w:tcBorders>
          </w:tcPr>
          <w:p w14:paraId="65A2A1A9" w14:textId="0C7A7AAA" w:rsidR="00350786" w:rsidRDefault="00350786" w:rsidP="0065476F">
            <w:pPr>
              <w:spacing w:line="240" w:lineRule="auto"/>
              <w:rPr>
                <w:rFonts w:ascii="Gibson" w:eastAsia="Arial" w:hAnsi="Gibson" w:cstheme="minorHAnsi"/>
                <w:color w:val="000000"/>
                <w:spacing w:val="-1"/>
                <w:lang w:val="es-MX"/>
              </w:rPr>
            </w:pPr>
            <w:r w:rsidRPr="00350786">
              <w:rPr>
                <w:rFonts w:ascii="Gibson" w:eastAsia="Arial" w:hAnsi="Gibson" w:cstheme="minorHAnsi"/>
                <w:color w:val="000000"/>
                <w:spacing w:val="-1"/>
                <w:lang w:val="es-MX"/>
              </w:rPr>
              <w:t xml:space="preserve">A partir de que se ejerza la disposición de recursos del Financiamiento, sin rebasar en ningún caso la fecha máxima de vencimiento que será el día </w:t>
            </w:r>
            <w:r w:rsidR="008C323E">
              <w:rPr>
                <w:rFonts w:ascii="Gibson" w:eastAsia="Arial" w:hAnsi="Gibson" w:cstheme="minorHAnsi"/>
                <w:color w:val="000000"/>
                <w:spacing w:val="-1"/>
                <w:lang w:val="es-MX"/>
              </w:rPr>
              <w:t>3</w:t>
            </w:r>
            <w:r w:rsidRPr="00350786">
              <w:rPr>
                <w:rFonts w:ascii="Gibson" w:eastAsia="Arial" w:hAnsi="Gibson" w:cstheme="minorHAnsi"/>
                <w:color w:val="000000"/>
                <w:spacing w:val="-1"/>
                <w:lang w:val="es-MX"/>
              </w:rPr>
              <w:t xml:space="preserve">1 de </w:t>
            </w:r>
            <w:r w:rsidR="008C323E">
              <w:rPr>
                <w:rFonts w:ascii="Gibson" w:eastAsia="Arial" w:hAnsi="Gibson" w:cstheme="minorHAnsi"/>
                <w:color w:val="000000"/>
                <w:spacing w:val="-1"/>
                <w:lang w:val="es-MX"/>
              </w:rPr>
              <w:t>agosto</w:t>
            </w:r>
            <w:r w:rsidRPr="00350786">
              <w:rPr>
                <w:rFonts w:ascii="Gibson" w:eastAsia="Arial" w:hAnsi="Gibson" w:cstheme="minorHAnsi"/>
                <w:color w:val="000000"/>
                <w:spacing w:val="-1"/>
                <w:lang w:val="es-MX"/>
              </w:rPr>
              <w:t xml:space="preserve"> de 2027.   </w:t>
            </w:r>
          </w:p>
        </w:tc>
      </w:tr>
      <w:tr w:rsidR="004C2A5D" w:rsidRPr="006D1E13" w14:paraId="06F13B0D" w14:textId="77777777" w:rsidTr="00BF628F">
        <w:tc>
          <w:tcPr>
            <w:tcW w:w="2694" w:type="dxa"/>
            <w:tcBorders>
              <w:top w:val="single" w:sz="4" w:space="0" w:color="auto"/>
              <w:left w:val="single" w:sz="4" w:space="0" w:color="auto"/>
              <w:bottom w:val="single" w:sz="4" w:space="0" w:color="auto"/>
              <w:right w:val="single" w:sz="4" w:space="0" w:color="auto"/>
            </w:tcBorders>
          </w:tcPr>
          <w:p w14:paraId="21FC8B0B" w14:textId="77777777" w:rsidR="004C2A5D" w:rsidRPr="002F38EC" w:rsidRDefault="004C2A5D" w:rsidP="002F38EC">
            <w:pPr>
              <w:spacing w:line="240" w:lineRule="auto"/>
              <w:jc w:val="left"/>
              <w:rPr>
                <w:rFonts w:ascii="Gibson" w:hAnsi="Gibson" w:cstheme="minorHAnsi"/>
                <w:b/>
                <w:lang w:val="es-MX"/>
              </w:rPr>
            </w:pPr>
            <w:r w:rsidRPr="002F38EC">
              <w:rPr>
                <w:rFonts w:ascii="Gibson" w:hAnsi="Gibson" w:cstheme="minorHAnsi"/>
                <w:b/>
                <w:lang w:val="es-MX"/>
              </w:rPr>
              <w:t>Perfil de Amortizaciones:</w:t>
            </w:r>
          </w:p>
          <w:p w14:paraId="706EDE17" w14:textId="77777777" w:rsidR="004C2A5D" w:rsidRPr="002F38EC" w:rsidRDefault="004C2A5D" w:rsidP="002F38EC">
            <w:pPr>
              <w:spacing w:line="240" w:lineRule="auto"/>
              <w:jc w:val="left"/>
              <w:rPr>
                <w:rFonts w:ascii="Gibson" w:hAnsi="Gibson" w:cstheme="minorHAnsi"/>
                <w:b/>
                <w:lang w:val="es-MX"/>
              </w:rPr>
            </w:pPr>
          </w:p>
        </w:tc>
        <w:tc>
          <w:tcPr>
            <w:tcW w:w="6237" w:type="dxa"/>
            <w:tcBorders>
              <w:top w:val="single" w:sz="4" w:space="0" w:color="auto"/>
              <w:left w:val="single" w:sz="4" w:space="0" w:color="auto"/>
              <w:bottom w:val="single" w:sz="4" w:space="0" w:color="auto"/>
              <w:right w:val="single" w:sz="4" w:space="0" w:color="auto"/>
            </w:tcBorders>
          </w:tcPr>
          <w:p w14:paraId="4A64FDFD" w14:textId="551284C3" w:rsidR="0065476F" w:rsidRPr="0065476F" w:rsidRDefault="0065476F" w:rsidP="0065476F">
            <w:pPr>
              <w:spacing w:line="240" w:lineRule="auto"/>
              <w:rPr>
                <w:rFonts w:ascii="Gibson" w:eastAsia="Arial" w:hAnsi="Gibson" w:cstheme="minorHAnsi"/>
                <w:color w:val="000000"/>
                <w:spacing w:val="-1"/>
                <w:lang w:val="es-MX"/>
              </w:rPr>
            </w:pPr>
            <w:r>
              <w:rPr>
                <w:rFonts w:ascii="Gibson" w:eastAsia="Arial" w:hAnsi="Gibson" w:cstheme="minorHAnsi"/>
                <w:color w:val="000000"/>
                <w:spacing w:val="-1"/>
                <w:lang w:val="es-MX"/>
              </w:rPr>
              <w:t>P</w:t>
            </w:r>
            <w:r w:rsidRPr="0065476F">
              <w:rPr>
                <w:rFonts w:ascii="Gibson" w:eastAsia="Arial" w:hAnsi="Gibson" w:cstheme="minorHAnsi"/>
                <w:color w:val="000000"/>
                <w:spacing w:val="-1"/>
                <w:lang w:val="es-MX"/>
              </w:rPr>
              <w:t>agos mensuales, específicos y consecutivos.</w:t>
            </w:r>
          </w:p>
          <w:p w14:paraId="1F70BF7C" w14:textId="77777777" w:rsidR="0065476F" w:rsidRPr="0065476F" w:rsidRDefault="0065476F" w:rsidP="0065476F">
            <w:pPr>
              <w:spacing w:line="240" w:lineRule="auto"/>
              <w:rPr>
                <w:rFonts w:ascii="Gibson" w:eastAsia="Arial" w:hAnsi="Gibson" w:cstheme="minorHAnsi"/>
                <w:color w:val="000000"/>
                <w:spacing w:val="-1"/>
                <w:lang w:val="es-MX"/>
              </w:rPr>
            </w:pPr>
          </w:p>
          <w:p w14:paraId="78936203" w14:textId="600C5B66" w:rsidR="00873EC8" w:rsidRDefault="00873EC8" w:rsidP="0065476F">
            <w:pPr>
              <w:spacing w:line="240" w:lineRule="auto"/>
              <w:rPr>
                <w:rFonts w:ascii="Gibson" w:eastAsia="Arial" w:hAnsi="Gibson" w:cstheme="minorHAnsi"/>
                <w:color w:val="000000"/>
                <w:spacing w:val="-1"/>
                <w:lang w:val="es-MX"/>
              </w:rPr>
            </w:pPr>
            <w:r>
              <w:rPr>
                <w:rFonts w:ascii="Gibson" w:eastAsia="Arial" w:hAnsi="Gibson" w:cstheme="minorHAnsi"/>
                <w:color w:val="000000"/>
                <w:spacing w:val="-1"/>
                <w:lang w:val="es-MX"/>
              </w:rPr>
              <w:t>El esquema de amortización se determinará en función de: (i) el monto de la única disposición, (</w:t>
            </w:r>
            <w:proofErr w:type="spellStart"/>
            <w:r>
              <w:rPr>
                <w:rFonts w:ascii="Gibson" w:eastAsia="Arial" w:hAnsi="Gibson" w:cstheme="minorHAnsi"/>
                <w:color w:val="000000"/>
                <w:spacing w:val="-1"/>
                <w:lang w:val="es-MX"/>
              </w:rPr>
              <w:t>ii</w:t>
            </w:r>
            <w:proofErr w:type="spellEnd"/>
            <w:r>
              <w:rPr>
                <w:rFonts w:ascii="Gibson" w:eastAsia="Arial" w:hAnsi="Gibson" w:cstheme="minorHAnsi"/>
                <w:color w:val="000000"/>
                <w:spacing w:val="-1"/>
                <w:lang w:val="es-MX"/>
              </w:rPr>
              <w:t xml:space="preserve">) el plazo remanente del Financiamiento, sin rebasar en ningún caso para su vencimiento el </w:t>
            </w:r>
            <w:r w:rsidR="008C323E">
              <w:rPr>
                <w:rFonts w:ascii="Gibson" w:eastAsia="Arial" w:hAnsi="Gibson" w:cstheme="minorHAnsi"/>
                <w:color w:val="000000"/>
                <w:spacing w:val="-1"/>
                <w:lang w:val="es-MX"/>
              </w:rPr>
              <w:t>3</w:t>
            </w:r>
            <w:r>
              <w:rPr>
                <w:rFonts w:ascii="Gibson" w:eastAsia="Arial" w:hAnsi="Gibson" w:cstheme="minorHAnsi"/>
                <w:color w:val="000000"/>
                <w:spacing w:val="-1"/>
                <w:lang w:val="es-MX"/>
              </w:rPr>
              <w:t xml:space="preserve">1 de </w:t>
            </w:r>
            <w:r w:rsidR="008C323E">
              <w:rPr>
                <w:rFonts w:ascii="Gibson" w:eastAsia="Arial" w:hAnsi="Gibson" w:cstheme="minorHAnsi"/>
                <w:color w:val="000000"/>
                <w:spacing w:val="-1"/>
                <w:lang w:val="es-MX"/>
              </w:rPr>
              <w:t>agosto</w:t>
            </w:r>
            <w:r>
              <w:rPr>
                <w:rFonts w:ascii="Gibson" w:eastAsia="Arial" w:hAnsi="Gibson" w:cstheme="minorHAnsi"/>
                <w:color w:val="000000"/>
                <w:spacing w:val="-1"/>
                <w:lang w:val="es-MX"/>
              </w:rPr>
              <w:t xml:space="preserve"> de 2027 y la tasa de interés aplicable.</w:t>
            </w:r>
          </w:p>
          <w:p w14:paraId="075B2535" w14:textId="77777777" w:rsidR="00873EC8" w:rsidRDefault="00873EC8" w:rsidP="0065476F">
            <w:pPr>
              <w:spacing w:line="240" w:lineRule="auto"/>
              <w:rPr>
                <w:rFonts w:ascii="Gibson" w:eastAsia="Arial" w:hAnsi="Gibson" w:cstheme="minorHAnsi"/>
                <w:color w:val="000000"/>
                <w:spacing w:val="-1"/>
                <w:lang w:val="es-MX"/>
              </w:rPr>
            </w:pPr>
          </w:p>
          <w:p w14:paraId="684B01ED" w14:textId="52C9F47F" w:rsidR="004C2A5D" w:rsidRDefault="0065476F" w:rsidP="0065476F">
            <w:pPr>
              <w:spacing w:line="240" w:lineRule="auto"/>
              <w:rPr>
                <w:rFonts w:ascii="Gibson" w:hAnsi="Gibson" w:cstheme="minorHAnsi"/>
                <w:lang w:val="es-MX"/>
              </w:rPr>
            </w:pPr>
            <w:r w:rsidRPr="0065476F">
              <w:rPr>
                <w:rFonts w:ascii="Gibson" w:eastAsia="Arial" w:hAnsi="Gibson" w:cstheme="minorHAnsi"/>
                <w:color w:val="000000"/>
                <w:spacing w:val="-1"/>
                <w:lang w:val="es-MX"/>
              </w:rPr>
              <w:t>Lo anterior, en el entendido que los pagos por concepto de la suma de capital más intereses serán iguales en todos los meses durante la vigencia del Financiamiento, y dichos pagos no deberán rebasar en ningún caso el Porcentaje de FAFEF</w:t>
            </w:r>
          </w:p>
          <w:p w14:paraId="6BB154C5" w14:textId="6D7FE8FC" w:rsidR="00350786" w:rsidRPr="002F38EC" w:rsidRDefault="00350786" w:rsidP="0065476F">
            <w:pPr>
              <w:spacing w:line="240" w:lineRule="auto"/>
              <w:rPr>
                <w:rFonts w:ascii="Gibson" w:hAnsi="Gibson" w:cstheme="minorHAnsi"/>
                <w:lang w:val="es-MX"/>
              </w:rPr>
            </w:pPr>
          </w:p>
          <w:p w14:paraId="308F5D0B" w14:textId="28B5950A" w:rsidR="004C2A5D" w:rsidRPr="002F38EC" w:rsidRDefault="004C2A5D" w:rsidP="00736E83">
            <w:pPr>
              <w:spacing w:line="240" w:lineRule="auto"/>
              <w:rPr>
                <w:rFonts w:ascii="Gibson" w:hAnsi="Gibson" w:cstheme="minorHAnsi"/>
                <w:lang w:val="es-MX"/>
              </w:rPr>
            </w:pPr>
            <w:r w:rsidRPr="002F38EC">
              <w:rPr>
                <w:rFonts w:ascii="Gibson" w:hAnsi="Gibson" w:cstheme="minorHAnsi"/>
                <w:lang w:val="es-MX"/>
              </w:rPr>
              <w:t>*</w:t>
            </w:r>
            <w:r w:rsidRPr="002F38EC">
              <w:rPr>
                <w:rFonts w:ascii="Gibson" w:hAnsi="Gibson" w:cstheme="minorHAnsi"/>
                <w:i/>
                <w:lang w:val="es-MX"/>
              </w:rPr>
              <w:t>El Banco deberá adjuntar</w:t>
            </w:r>
            <w:r w:rsidR="002D5BFC" w:rsidRPr="002F38EC">
              <w:rPr>
                <w:i/>
                <w:iCs/>
              </w:rPr>
              <w:t xml:space="preserve"> </w:t>
            </w:r>
            <w:r w:rsidR="002D5BFC" w:rsidRPr="002F38EC">
              <w:rPr>
                <w:rFonts w:ascii="Gibson" w:hAnsi="Gibson" w:cstheme="minorHAnsi"/>
                <w:i/>
                <w:lang w:val="es-MX"/>
              </w:rPr>
              <w:t>como Anexo</w:t>
            </w:r>
            <w:r w:rsidRPr="002F38EC">
              <w:rPr>
                <w:rFonts w:ascii="Gibson" w:hAnsi="Gibson" w:cstheme="minorHAnsi"/>
                <w:i/>
                <w:lang w:val="es-MX"/>
              </w:rPr>
              <w:t xml:space="preserve"> a la Oferta de Crédito</w:t>
            </w:r>
            <w:r w:rsidR="00077433">
              <w:rPr>
                <w:rFonts w:ascii="Gibson" w:hAnsi="Gibson" w:cstheme="minorHAnsi"/>
                <w:i/>
                <w:lang w:val="es-MX"/>
              </w:rPr>
              <w:t xml:space="preserve"> </w:t>
            </w:r>
            <w:r w:rsidR="00077433" w:rsidRPr="00BF628F">
              <w:rPr>
                <w:rFonts w:ascii="Gibson" w:hAnsi="Gibson" w:cstheme="minorHAnsi"/>
                <w:i/>
                <w:lang w:val="es-MX"/>
              </w:rPr>
              <w:t>las amortizaciones establecidas</w:t>
            </w:r>
            <w:r w:rsidRPr="002F38EC">
              <w:rPr>
                <w:rFonts w:ascii="Gibson" w:hAnsi="Gibson" w:cstheme="minorHAnsi"/>
                <w:i/>
                <w:lang w:val="es-MX"/>
              </w:rPr>
              <w:t xml:space="preserve"> </w:t>
            </w:r>
            <w:r w:rsidR="00077433">
              <w:rPr>
                <w:rFonts w:ascii="Gibson" w:hAnsi="Gibson" w:cstheme="minorHAnsi"/>
                <w:i/>
                <w:lang w:val="es-MX"/>
              </w:rPr>
              <w:t xml:space="preserve">en </w:t>
            </w:r>
            <w:r w:rsidRPr="002F38EC">
              <w:rPr>
                <w:rFonts w:ascii="Gibson" w:hAnsi="Gibson" w:cstheme="minorHAnsi"/>
                <w:i/>
                <w:lang w:val="es-MX"/>
              </w:rPr>
              <w:t>la Tabla de Amortizaciones</w:t>
            </w:r>
            <w:r w:rsidR="00EA76D1">
              <w:rPr>
                <w:rFonts w:ascii="Gibson" w:hAnsi="Gibson" w:cstheme="minorHAnsi"/>
                <w:i/>
                <w:lang w:val="es-MX"/>
              </w:rPr>
              <w:t xml:space="preserve"> </w:t>
            </w:r>
            <w:r w:rsidR="00077433">
              <w:rPr>
                <w:rFonts w:ascii="Gibson" w:hAnsi="Gibson" w:cstheme="minorHAnsi"/>
                <w:i/>
                <w:lang w:val="es-MX"/>
              </w:rPr>
              <w:t>I</w:t>
            </w:r>
            <w:r w:rsidR="00EA76D1">
              <w:rPr>
                <w:rFonts w:ascii="Gibson" w:hAnsi="Gibson" w:cstheme="minorHAnsi"/>
                <w:i/>
                <w:lang w:val="es-MX"/>
              </w:rPr>
              <w:t>ndicativa</w:t>
            </w:r>
            <w:r w:rsidR="00350786">
              <w:rPr>
                <w:rFonts w:ascii="Gibson" w:hAnsi="Gibson" w:cstheme="minorHAnsi"/>
                <w:i/>
                <w:lang w:val="es-MX"/>
              </w:rPr>
              <w:t xml:space="preserve"> contenida en el</w:t>
            </w:r>
            <w:r w:rsidR="00FB134E">
              <w:rPr>
                <w:rFonts w:ascii="Gibson" w:hAnsi="Gibson" w:cstheme="minorHAnsi"/>
                <w:i/>
                <w:lang w:val="es-MX"/>
              </w:rPr>
              <w:t xml:space="preserve"> </w:t>
            </w:r>
            <w:r w:rsidRPr="002F38EC">
              <w:rPr>
                <w:rFonts w:ascii="Gibson" w:hAnsi="Gibson" w:cstheme="minorHAnsi"/>
                <w:i/>
                <w:lang w:val="es-MX"/>
              </w:rPr>
              <w:t xml:space="preserve">Anexo </w:t>
            </w:r>
            <w:r w:rsidR="0065476F">
              <w:rPr>
                <w:rFonts w:ascii="Gibson" w:hAnsi="Gibson" w:cstheme="minorHAnsi"/>
                <w:i/>
                <w:lang w:val="es-MX"/>
              </w:rPr>
              <w:t>5</w:t>
            </w:r>
            <w:r w:rsidRPr="002F38EC">
              <w:rPr>
                <w:rFonts w:ascii="Gibson" w:hAnsi="Gibson" w:cstheme="minorHAnsi"/>
                <w:i/>
                <w:lang w:val="es-MX"/>
              </w:rPr>
              <w:t xml:space="preserve"> de las Bases</w:t>
            </w:r>
            <w:r w:rsidR="00537F87" w:rsidRPr="002F38EC">
              <w:rPr>
                <w:rFonts w:ascii="Gibson" w:hAnsi="Gibson" w:cstheme="minorHAnsi"/>
                <w:i/>
                <w:lang w:val="es-MX"/>
              </w:rPr>
              <w:t xml:space="preserve"> de la Licitación</w:t>
            </w:r>
            <w:r w:rsidR="00736E83">
              <w:rPr>
                <w:rFonts w:ascii="Gibson" w:hAnsi="Gibson" w:cstheme="minorHAnsi"/>
                <w:i/>
                <w:lang w:val="es-MX"/>
              </w:rPr>
              <w:t>.</w:t>
            </w:r>
          </w:p>
        </w:tc>
      </w:tr>
      <w:tr w:rsidR="004C2A5D" w:rsidRPr="006D1E13" w14:paraId="31C6F363" w14:textId="77777777" w:rsidTr="00BF628F">
        <w:tc>
          <w:tcPr>
            <w:tcW w:w="2694" w:type="dxa"/>
            <w:tcBorders>
              <w:top w:val="single" w:sz="4" w:space="0" w:color="auto"/>
              <w:left w:val="single" w:sz="4" w:space="0" w:color="auto"/>
              <w:bottom w:val="single" w:sz="4" w:space="0" w:color="auto"/>
              <w:right w:val="single" w:sz="4" w:space="0" w:color="auto"/>
            </w:tcBorders>
            <w:hideMark/>
          </w:tcPr>
          <w:p w14:paraId="624E8FC9" w14:textId="1F66DF7C" w:rsidR="004C2A5D" w:rsidRPr="002F38EC" w:rsidRDefault="004C2A5D" w:rsidP="002F38EC">
            <w:pPr>
              <w:spacing w:line="240" w:lineRule="auto"/>
              <w:jc w:val="left"/>
              <w:rPr>
                <w:rFonts w:ascii="Gibson" w:hAnsi="Gibson" w:cstheme="minorHAnsi"/>
                <w:b/>
                <w:lang w:val="es-MX"/>
              </w:rPr>
            </w:pPr>
            <w:r w:rsidRPr="002F38EC">
              <w:rPr>
                <w:rFonts w:ascii="Gibson" w:hAnsi="Gibson" w:cstheme="minorHAnsi"/>
                <w:b/>
                <w:lang w:val="es-MX"/>
              </w:rPr>
              <w:t xml:space="preserve">Periodo para el cumplimiento de condiciones suspensivas: </w:t>
            </w:r>
          </w:p>
          <w:p w14:paraId="6F732335" w14:textId="649925DE" w:rsidR="00A2169A" w:rsidRPr="002F38EC" w:rsidRDefault="00A2169A" w:rsidP="002F38EC">
            <w:pPr>
              <w:spacing w:line="240" w:lineRule="auto"/>
              <w:jc w:val="left"/>
              <w:rPr>
                <w:rFonts w:ascii="Gibson" w:hAnsi="Gibson" w:cstheme="minorHAnsi"/>
                <w:b/>
                <w:lang w:val="es-MX"/>
              </w:rPr>
            </w:pPr>
          </w:p>
        </w:tc>
        <w:tc>
          <w:tcPr>
            <w:tcW w:w="6237" w:type="dxa"/>
            <w:tcBorders>
              <w:top w:val="single" w:sz="4" w:space="0" w:color="auto"/>
              <w:left w:val="single" w:sz="4" w:space="0" w:color="auto"/>
              <w:bottom w:val="single" w:sz="4" w:space="0" w:color="auto"/>
              <w:right w:val="single" w:sz="4" w:space="0" w:color="auto"/>
            </w:tcBorders>
          </w:tcPr>
          <w:p w14:paraId="2B53328C" w14:textId="50A7D3BD" w:rsidR="004C2A5D" w:rsidRPr="002F38EC" w:rsidRDefault="0065476F" w:rsidP="002E788A">
            <w:pPr>
              <w:spacing w:line="240" w:lineRule="auto"/>
              <w:rPr>
                <w:rFonts w:ascii="Gibson" w:hAnsi="Gibson" w:cstheme="minorHAnsi"/>
                <w:lang w:val="es-MX"/>
              </w:rPr>
            </w:pPr>
            <w:r>
              <w:rPr>
                <w:rFonts w:ascii="Gibson" w:hAnsi="Gibson" w:cstheme="minorHAnsi"/>
                <w:lang w:val="es-MX"/>
              </w:rPr>
              <w:t>H</w:t>
            </w:r>
            <w:r w:rsidRPr="0065476F">
              <w:rPr>
                <w:rFonts w:ascii="Gibson" w:hAnsi="Gibson" w:cstheme="minorHAnsi"/>
                <w:lang w:val="es-MX"/>
              </w:rPr>
              <w:t>asta 60 (sesenta) días</w:t>
            </w:r>
            <w:r w:rsidR="00350786">
              <w:rPr>
                <w:rFonts w:ascii="Gibson" w:hAnsi="Gibson" w:cstheme="minorHAnsi"/>
                <w:lang w:val="es-MX"/>
              </w:rPr>
              <w:t xml:space="preserve"> naturales</w:t>
            </w:r>
            <w:r w:rsidRPr="0065476F">
              <w:rPr>
                <w:rFonts w:ascii="Gibson" w:hAnsi="Gibson" w:cstheme="minorHAnsi"/>
                <w:lang w:val="es-MX"/>
              </w:rPr>
              <w:t xml:space="preserve">, contados a partir de la firma del Contrato de Crédito, el cual podrá prorrogarse, a solicitud del Estado, en términos del Modelo de Contrato de Crédito. </w:t>
            </w:r>
          </w:p>
        </w:tc>
      </w:tr>
      <w:tr w:rsidR="004C2A5D" w:rsidRPr="006D1E13" w14:paraId="63453B1D" w14:textId="77777777" w:rsidTr="006F44C0">
        <w:tc>
          <w:tcPr>
            <w:tcW w:w="2694" w:type="dxa"/>
            <w:tcBorders>
              <w:top w:val="single" w:sz="4" w:space="0" w:color="auto"/>
              <w:left w:val="single" w:sz="4" w:space="0" w:color="auto"/>
              <w:bottom w:val="single" w:sz="4" w:space="0" w:color="auto"/>
              <w:right w:val="single" w:sz="4" w:space="0" w:color="auto"/>
            </w:tcBorders>
            <w:hideMark/>
          </w:tcPr>
          <w:p w14:paraId="3873DE3A" w14:textId="77777777" w:rsidR="004C2A5D" w:rsidRPr="002F38EC" w:rsidRDefault="004C2A5D" w:rsidP="002F38EC">
            <w:pPr>
              <w:spacing w:line="240" w:lineRule="auto"/>
              <w:jc w:val="left"/>
              <w:rPr>
                <w:rFonts w:ascii="Gibson" w:hAnsi="Gibson" w:cstheme="minorHAnsi"/>
                <w:b/>
                <w:lang w:val="es-MX"/>
              </w:rPr>
            </w:pPr>
            <w:r w:rsidRPr="002F38EC">
              <w:rPr>
                <w:rFonts w:ascii="Gibson" w:hAnsi="Gibson" w:cstheme="minorHAnsi"/>
                <w:b/>
                <w:lang w:val="es-MX"/>
              </w:rPr>
              <w:t>Periodo de Disposición:</w:t>
            </w:r>
          </w:p>
        </w:tc>
        <w:tc>
          <w:tcPr>
            <w:tcW w:w="6237" w:type="dxa"/>
            <w:tcBorders>
              <w:top w:val="single" w:sz="4" w:space="0" w:color="auto"/>
              <w:left w:val="single" w:sz="4" w:space="0" w:color="auto"/>
              <w:bottom w:val="single" w:sz="4" w:space="0" w:color="auto"/>
              <w:right w:val="single" w:sz="4" w:space="0" w:color="auto"/>
            </w:tcBorders>
          </w:tcPr>
          <w:p w14:paraId="2B57622C" w14:textId="108BA070" w:rsidR="0065476F" w:rsidRPr="0065476F" w:rsidRDefault="0065476F" w:rsidP="0065476F">
            <w:pPr>
              <w:pStyle w:val="Sinespaciado1"/>
              <w:rPr>
                <w:rFonts w:ascii="Gibson" w:eastAsia="Arial" w:hAnsi="Gibson" w:cstheme="minorHAnsi"/>
                <w:color w:val="000000"/>
                <w:spacing w:val="-1"/>
                <w:lang w:val="es-MX" w:eastAsia="en-US"/>
              </w:rPr>
            </w:pPr>
            <w:r>
              <w:rPr>
                <w:rFonts w:ascii="Gibson" w:eastAsia="Arial" w:hAnsi="Gibson" w:cstheme="minorHAnsi"/>
                <w:color w:val="000000"/>
                <w:spacing w:val="-1"/>
                <w:lang w:val="es-MX" w:eastAsia="en-US"/>
              </w:rPr>
              <w:t>Ú</w:t>
            </w:r>
            <w:r w:rsidRPr="0065476F">
              <w:rPr>
                <w:rFonts w:ascii="Gibson" w:eastAsia="Arial" w:hAnsi="Gibson" w:cstheme="minorHAnsi"/>
                <w:color w:val="000000"/>
                <w:spacing w:val="-1"/>
                <w:lang w:val="es-MX" w:eastAsia="en-US"/>
              </w:rPr>
              <w:t xml:space="preserve">nica disposición de recursos en un plazo de hasta 30 (treinta) días hábiles, contados a partir del cumplimiento de las condiciones suspensivas, el cual podrá prorrogarse, a solicitud del Estado en términos del Modelo de Contrato de Crédito. </w:t>
            </w:r>
          </w:p>
          <w:p w14:paraId="525DE8FB" w14:textId="77777777" w:rsidR="0065476F" w:rsidRPr="0065476F" w:rsidRDefault="0065476F" w:rsidP="0065476F">
            <w:pPr>
              <w:pStyle w:val="Sinespaciado1"/>
              <w:rPr>
                <w:rFonts w:ascii="Gibson" w:eastAsia="Arial" w:hAnsi="Gibson" w:cstheme="minorHAnsi"/>
                <w:color w:val="000000"/>
                <w:spacing w:val="-1"/>
                <w:lang w:val="es-MX" w:eastAsia="en-US"/>
              </w:rPr>
            </w:pPr>
          </w:p>
          <w:p w14:paraId="2591BE7B" w14:textId="77BFCB75" w:rsidR="004C2A5D" w:rsidRPr="002F38EC" w:rsidRDefault="0065476F" w:rsidP="0065476F">
            <w:pPr>
              <w:pStyle w:val="Sinespaciado1"/>
              <w:rPr>
                <w:rFonts w:ascii="Gibson" w:hAnsi="Gibson" w:cstheme="minorHAnsi"/>
                <w:lang w:val="es-MX" w:eastAsia="en-US"/>
              </w:rPr>
            </w:pPr>
            <w:r w:rsidRPr="0065476F">
              <w:rPr>
                <w:rFonts w:ascii="Gibson" w:eastAsia="Arial" w:hAnsi="Gibson" w:cstheme="minorHAnsi"/>
                <w:color w:val="000000"/>
                <w:spacing w:val="-1"/>
                <w:lang w:val="es-MX" w:eastAsia="en-US"/>
              </w:rPr>
              <w:t>El monto de la disposición se ajustará de tal manera que el Porcentaje de FAFEF a ocuparse como fuente de pago sea suficiente para cubrir el pago del servicio de la deuda (amortización más intereses) mensual, considerando la tasa de interés que le resultaría aplicable.</w:t>
            </w:r>
          </w:p>
        </w:tc>
      </w:tr>
      <w:tr w:rsidR="004C2A5D" w:rsidRPr="006D1E13" w14:paraId="374393EC" w14:textId="77777777" w:rsidTr="006F44C0">
        <w:tc>
          <w:tcPr>
            <w:tcW w:w="2694" w:type="dxa"/>
            <w:tcBorders>
              <w:top w:val="single" w:sz="4" w:space="0" w:color="auto"/>
              <w:left w:val="single" w:sz="4" w:space="0" w:color="auto"/>
              <w:bottom w:val="single" w:sz="4" w:space="0" w:color="auto"/>
              <w:right w:val="single" w:sz="4" w:space="0" w:color="auto"/>
            </w:tcBorders>
            <w:hideMark/>
          </w:tcPr>
          <w:p w14:paraId="7A673640" w14:textId="59235F7F" w:rsidR="004C2A5D" w:rsidRPr="002F38EC" w:rsidRDefault="004C2A5D" w:rsidP="002F38EC">
            <w:pPr>
              <w:spacing w:line="240" w:lineRule="auto"/>
              <w:jc w:val="left"/>
              <w:rPr>
                <w:rFonts w:ascii="Gibson" w:eastAsia="Arial" w:hAnsi="Gibson" w:cstheme="minorHAnsi"/>
                <w:b/>
                <w:bCs/>
                <w:lang w:val="es-MX"/>
              </w:rPr>
            </w:pPr>
            <w:r w:rsidRPr="002F38EC">
              <w:rPr>
                <w:rFonts w:ascii="Gibson" w:eastAsia="Arial" w:hAnsi="Gibson" w:cstheme="minorHAnsi"/>
                <w:b/>
                <w:bCs/>
                <w:lang w:val="es-MX"/>
              </w:rPr>
              <w:t>Oportunidad de entrega de los recursos:</w:t>
            </w:r>
          </w:p>
          <w:p w14:paraId="7D8D2F44" w14:textId="7ADFE528" w:rsidR="00A2169A" w:rsidRPr="002F38EC" w:rsidRDefault="00A2169A" w:rsidP="002F38EC">
            <w:pPr>
              <w:spacing w:line="240" w:lineRule="auto"/>
              <w:jc w:val="left"/>
              <w:rPr>
                <w:rFonts w:ascii="Gibson" w:hAnsi="Gibson" w:cstheme="minorHAnsi"/>
                <w:b/>
                <w:lang w:val="es-MX"/>
              </w:rPr>
            </w:pPr>
          </w:p>
        </w:tc>
        <w:tc>
          <w:tcPr>
            <w:tcW w:w="6237" w:type="dxa"/>
            <w:tcBorders>
              <w:top w:val="single" w:sz="4" w:space="0" w:color="auto"/>
              <w:left w:val="single" w:sz="4" w:space="0" w:color="auto"/>
              <w:bottom w:val="single" w:sz="4" w:space="0" w:color="auto"/>
              <w:right w:val="single" w:sz="4" w:space="0" w:color="auto"/>
            </w:tcBorders>
          </w:tcPr>
          <w:p w14:paraId="2C5B3213" w14:textId="2E5D223E" w:rsidR="004C2A5D" w:rsidRPr="002F38EC" w:rsidRDefault="004C2A5D" w:rsidP="002E788A">
            <w:pPr>
              <w:spacing w:line="240" w:lineRule="auto"/>
              <w:rPr>
                <w:rFonts w:ascii="Gibson" w:eastAsia="Arial" w:hAnsi="Gibson" w:cstheme="minorHAnsi"/>
                <w:bCs/>
                <w:lang w:val="es-MX"/>
              </w:rPr>
            </w:pPr>
            <w:r w:rsidRPr="00BF628F">
              <w:rPr>
                <w:rFonts w:ascii="Gibson" w:eastAsia="Arial" w:hAnsi="Gibson" w:cstheme="minorHAnsi"/>
                <w:bCs/>
                <w:lang w:val="es-MX"/>
              </w:rPr>
              <w:t xml:space="preserve">Dentro de los </w:t>
            </w:r>
            <w:r w:rsidR="00B44A1A" w:rsidRPr="00BF628F">
              <w:rPr>
                <w:rFonts w:ascii="Gibson" w:eastAsia="Arial" w:hAnsi="Gibson" w:cstheme="minorHAnsi"/>
                <w:bCs/>
                <w:lang w:val="es-MX"/>
              </w:rPr>
              <w:t>8</w:t>
            </w:r>
            <w:r w:rsidRPr="00BF628F">
              <w:rPr>
                <w:rFonts w:ascii="Gibson" w:eastAsia="Arial" w:hAnsi="Gibson" w:cstheme="minorHAnsi"/>
                <w:bCs/>
                <w:lang w:val="es-MX"/>
              </w:rPr>
              <w:t xml:space="preserve"> (</w:t>
            </w:r>
            <w:r w:rsidR="00B44A1A" w:rsidRPr="00BF628F">
              <w:rPr>
                <w:rFonts w:ascii="Gibson" w:eastAsia="Arial" w:hAnsi="Gibson" w:cstheme="minorHAnsi"/>
                <w:bCs/>
                <w:lang w:val="es-MX"/>
              </w:rPr>
              <w:t>ocho</w:t>
            </w:r>
            <w:r w:rsidRPr="00BF628F">
              <w:rPr>
                <w:rFonts w:ascii="Gibson" w:eastAsia="Arial" w:hAnsi="Gibson" w:cstheme="minorHAnsi"/>
                <w:bCs/>
                <w:lang w:val="es-MX"/>
              </w:rPr>
              <w:t>) Días Hábiles siguientes a la entrega de la solicitud de disposición por parte del Estado.</w:t>
            </w:r>
          </w:p>
          <w:p w14:paraId="419CCBCF" w14:textId="77777777" w:rsidR="004C2A5D" w:rsidRPr="002F38EC" w:rsidRDefault="004C2A5D" w:rsidP="002E788A">
            <w:pPr>
              <w:spacing w:line="240" w:lineRule="auto"/>
              <w:rPr>
                <w:rFonts w:ascii="Gibson" w:eastAsia="Arial" w:hAnsi="Gibson" w:cstheme="minorHAnsi"/>
                <w:bCs/>
                <w:lang w:val="es-MX"/>
              </w:rPr>
            </w:pPr>
          </w:p>
        </w:tc>
      </w:tr>
      <w:tr w:rsidR="004C2A5D" w:rsidRPr="006D1E13" w14:paraId="75E353E4" w14:textId="77777777" w:rsidTr="006F44C0">
        <w:tc>
          <w:tcPr>
            <w:tcW w:w="2694" w:type="dxa"/>
            <w:tcBorders>
              <w:top w:val="single" w:sz="4" w:space="0" w:color="auto"/>
              <w:left w:val="single" w:sz="4" w:space="0" w:color="auto"/>
              <w:bottom w:val="single" w:sz="4" w:space="0" w:color="auto"/>
              <w:right w:val="single" w:sz="4" w:space="0" w:color="auto"/>
            </w:tcBorders>
            <w:hideMark/>
          </w:tcPr>
          <w:p w14:paraId="368EA8C4" w14:textId="77777777" w:rsidR="004C2A5D" w:rsidRPr="002F38EC" w:rsidRDefault="004C2A5D" w:rsidP="002F38EC">
            <w:pPr>
              <w:spacing w:line="240" w:lineRule="auto"/>
              <w:jc w:val="left"/>
              <w:rPr>
                <w:rFonts w:ascii="Gibson" w:hAnsi="Gibson" w:cstheme="minorHAnsi"/>
                <w:b/>
                <w:lang w:val="es-MX"/>
              </w:rPr>
            </w:pPr>
            <w:r w:rsidRPr="002F38EC">
              <w:rPr>
                <w:rFonts w:ascii="Gibson" w:hAnsi="Gibson" w:cstheme="minorHAnsi"/>
                <w:b/>
                <w:lang w:val="es-MX"/>
              </w:rPr>
              <w:t>Periodo de Gracia:</w:t>
            </w:r>
          </w:p>
        </w:tc>
        <w:tc>
          <w:tcPr>
            <w:tcW w:w="6237" w:type="dxa"/>
            <w:tcBorders>
              <w:top w:val="single" w:sz="4" w:space="0" w:color="auto"/>
              <w:left w:val="single" w:sz="4" w:space="0" w:color="auto"/>
              <w:bottom w:val="single" w:sz="4" w:space="0" w:color="auto"/>
              <w:right w:val="single" w:sz="4" w:space="0" w:color="auto"/>
            </w:tcBorders>
            <w:hideMark/>
          </w:tcPr>
          <w:p w14:paraId="19ED2D7D" w14:textId="53D4196C" w:rsidR="004C2A5D" w:rsidRDefault="004C2A5D" w:rsidP="002E788A">
            <w:pPr>
              <w:spacing w:line="240" w:lineRule="auto"/>
              <w:rPr>
                <w:rFonts w:ascii="Gibson" w:eastAsia="Arial" w:hAnsi="Gibson" w:cstheme="minorHAnsi"/>
                <w:color w:val="000000"/>
                <w:spacing w:val="-1"/>
                <w:lang w:val="es-MX"/>
              </w:rPr>
            </w:pPr>
            <w:r w:rsidRPr="002F38EC">
              <w:rPr>
                <w:rFonts w:ascii="Gibson" w:eastAsia="Arial" w:hAnsi="Gibson" w:cstheme="minorHAnsi"/>
                <w:color w:val="000000"/>
                <w:spacing w:val="-1"/>
                <w:lang w:val="es-MX"/>
              </w:rPr>
              <w:t>Sin periodo de gracia.</w:t>
            </w:r>
          </w:p>
          <w:p w14:paraId="0AE02246" w14:textId="77777777" w:rsidR="00470372" w:rsidRPr="002F38EC" w:rsidRDefault="00470372" w:rsidP="002E788A">
            <w:pPr>
              <w:spacing w:line="240" w:lineRule="auto"/>
              <w:rPr>
                <w:rFonts w:ascii="Gibson" w:eastAsia="Arial" w:hAnsi="Gibson" w:cstheme="minorHAnsi"/>
                <w:color w:val="000000"/>
                <w:spacing w:val="-1"/>
                <w:lang w:val="es-MX"/>
              </w:rPr>
            </w:pPr>
          </w:p>
          <w:p w14:paraId="2A8CC80D" w14:textId="77777777" w:rsidR="004C2A5D" w:rsidRPr="002F38EC" w:rsidRDefault="004C2A5D" w:rsidP="002E788A">
            <w:pPr>
              <w:spacing w:line="240" w:lineRule="auto"/>
              <w:rPr>
                <w:rFonts w:ascii="Gibson" w:eastAsia="Arial" w:hAnsi="Gibson" w:cstheme="minorHAnsi"/>
                <w:color w:val="000000"/>
                <w:spacing w:val="-1"/>
                <w:lang w:val="es-MX"/>
              </w:rPr>
            </w:pPr>
          </w:p>
        </w:tc>
      </w:tr>
      <w:tr w:rsidR="004C2A5D" w:rsidRPr="006D1E13" w14:paraId="0B6C29C0" w14:textId="77777777" w:rsidTr="006F44C0">
        <w:tc>
          <w:tcPr>
            <w:tcW w:w="2694" w:type="dxa"/>
            <w:tcBorders>
              <w:top w:val="single" w:sz="4" w:space="0" w:color="auto"/>
              <w:left w:val="single" w:sz="4" w:space="0" w:color="auto"/>
              <w:bottom w:val="single" w:sz="4" w:space="0" w:color="auto"/>
              <w:right w:val="single" w:sz="4" w:space="0" w:color="auto"/>
            </w:tcBorders>
            <w:hideMark/>
          </w:tcPr>
          <w:p w14:paraId="5AEE1671" w14:textId="4D994891" w:rsidR="004C2A5D" w:rsidRPr="002F38EC" w:rsidRDefault="004C2A5D" w:rsidP="002F38EC">
            <w:pPr>
              <w:spacing w:line="240" w:lineRule="auto"/>
              <w:jc w:val="left"/>
              <w:rPr>
                <w:rFonts w:ascii="Gibson" w:hAnsi="Gibson" w:cstheme="minorHAnsi"/>
                <w:b/>
                <w:lang w:val="es-MX"/>
              </w:rPr>
            </w:pPr>
            <w:r w:rsidRPr="002F38EC">
              <w:rPr>
                <w:rFonts w:ascii="Gibson" w:hAnsi="Gibson" w:cstheme="minorHAnsi"/>
                <w:b/>
                <w:lang w:val="es-MX"/>
              </w:rPr>
              <w:t>Periodicidad de Pago de intereses:</w:t>
            </w:r>
          </w:p>
          <w:p w14:paraId="2D16425F" w14:textId="75F1DE67" w:rsidR="00A2169A" w:rsidRPr="002F38EC" w:rsidRDefault="00A2169A" w:rsidP="002F38EC">
            <w:pPr>
              <w:spacing w:line="240" w:lineRule="auto"/>
              <w:jc w:val="left"/>
              <w:rPr>
                <w:rFonts w:ascii="Gibson" w:hAnsi="Gibson" w:cstheme="minorHAnsi"/>
                <w:b/>
                <w:spacing w:val="0"/>
                <w:lang w:val="es-MX"/>
              </w:rPr>
            </w:pPr>
          </w:p>
        </w:tc>
        <w:tc>
          <w:tcPr>
            <w:tcW w:w="6237" w:type="dxa"/>
            <w:tcBorders>
              <w:top w:val="single" w:sz="4" w:space="0" w:color="auto"/>
              <w:left w:val="single" w:sz="4" w:space="0" w:color="auto"/>
              <w:bottom w:val="single" w:sz="4" w:space="0" w:color="auto"/>
              <w:right w:val="single" w:sz="4" w:space="0" w:color="auto"/>
            </w:tcBorders>
            <w:hideMark/>
          </w:tcPr>
          <w:p w14:paraId="49FD09C2" w14:textId="782BD387" w:rsidR="004C2A5D" w:rsidRPr="002F38EC" w:rsidRDefault="00AD542B" w:rsidP="002E788A">
            <w:pPr>
              <w:spacing w:line="240" w:lineRule="auto"/>
              <w:rPr>
                <w:rFonts w:ascii="Gibson" w:eastAsia="Arial" w:hAnsi="Gibson" w:cstheme="minorHAnsi"/>
                <w:color w:val="000000"/>
                <w:spacing w:val="-1"/>
                <w:lang w:val="es-MX"/>
              </w:rPr>
            </w:pPr>
            <w:r>
              <w:rPr>
                <w:rFonts w:ascii="Gibson" w:eastAsia="Arial" w:hAnsi="Gibson" w:cstheme="minorHAnsi"/>
                <w:color w:val="000000"/>
                <w:spacing w:val="-1"/>
                <w:lang w:val="es-MX"/>
              </w:rPr>
              <w:t>M</w:t>
            </w:r>
            <w:r w:rsidRPr="00AD542B">
              <w:rPr>
                <w:rFonts w:ascii="Gibson" w:eastAsia="Arial" w:hAnsi="Gibson" w:cstheme="minorHAnsi"/>
                <w:color w:val="000000"/>
                <w:spacing w:val="-1"/>
                <w:lang w:val="es-MX"/>
              </w:rPr>
              <w:t>ensuales; los pagos se efectuarán en las mismas fechas de amortización de principal.</w:t>
            </w:r>
          </w:p>
        </w:tc>
      </w:tr>
      <w:tr w:rsidR="004C2A5D" w:rsidRPr="006D1E13" w14:paraId="48AB308F" w14:textId="77777777" w:rsidTr="006F44C0">
        <w:tc>
          <w:tcPr>
            <w:tcW w:w="2694" w:type="dxa"/>
            <w:tcBorders>
              <w:top w:val="single" w:sz="4" w:space="0" w:color="auto"/>
              <w:left w:val="single" w:sz="4" w:space="0" w:color="auto"/>
              <w:bottom w:val="single" w:sz="4" w:space="0" w:color="auto"/>
              <w:right w:val="single" w:sz="4" w:space="0" w:color="auto"/>
            </w:tcBorders>
            <w:hideMark/>
          </w:tcPr>
          <w:p w14:paraId="4F8A6F29" w14:textId="11B3FD1F" w:rsidR="004C2A5D" w:rsidRPr="002F38EC" w:rsidRDefault="004B7A16" w:rsidP="002F38EC">
            <w:pPr>
              <w:spacing w:line="240" w:lineRule="auto"/>
              <w:jc w:val="left"/>
              <w:rPr>
                <w:rFonts w:ascii="Gibson" w:hAnsi="Gibson" w:cstheme="minorHAnsi"/>
                <w:b/>
                <w:spacing w:val="0"/>
                <w:lang w:val="es-MX"/>
              </w:rPr>
            </w:pPr>
            <w:r w:rsidRPr="004B7A16">
              <w:rPr>
                <w:rFonts w:ascii="Gibson" w:hAnsi="Gibson" w:cstheme="minorHAnsi"/>
                <w:b/>
                <w:lang w:val="es-MX"/>
              </w:rPr>
              <w:t>Tipo de tasa de interés solicitada:</w:t>
            </w:r>
          </w:p>
        </w:tc>
        <w:tc>
          <w:tcPr>
            <w:tcW w:w="6237" w:type="dxa"/>
            <w:tcBorders>
              <w:top w:val="single" w:sz="4" w:space="0" w:color="auto"/>
              <w:left w:val="single" w:sz="4" w:space="0" w:color="auto"/>
              <w:bottom w:val="single" w:sz="4" w:space="0" w:color="auto"/>
              <w:right w:val="single" w:sz="4" w:space="0" w:color="auto"/>
            </w:tcBorders>
          </w:tcPr>
          <w:p w14:paraId="7F98F94F" w14:textId="61762E65" w:rsidR="004B7A16" w:rsidRPr="004B7A16" w:rsidRDefault="004B7A16" w:rsidP="004B7A16">
            <w:pPr>
              <w:pStyle w:val="Sinespaciado1"/>
              <w:rPr>
                <w:rFonts w:ascii="Gibson" w:hAnsi="Gibson" w:cstheme="minorHAnsi"/>
                <w:lang w:val="es-MX" w:eastAsia="en-US"/>
              </w:rPr>
            </w:pPr>
            <w:r>
              <w:rPr>
                <w:rFonts w:ascii="Gibson" w:hAnsi="Gibson" w:cstheme="minorHAnsi"/>
                <w:lang w:val="es-MX" w:eastAsia="en-US"/>
              </w:rPr>
              <w:t>F</w:t>
            </w:r>
            <w:r w:rsidRPr="004B7A16">
              <w:rPr>
                <w:rFonts w:ascii="Gibson" w:hAnsi="Gibson" w:cstheme="minorHAnsi"/>
                <w:lang w:val="es-MX" w:eastAsia="en-US"/>
              </w:rPr>
              <w:t xml:space="preserve">ija, equivalente a la Tasa de Interés Aplicable, la cual estará compuesta por la suma de la Tasa Base Fija y el Margen Aplicable. </w:t>
            </w:r>
          </w:p>
          <w:p w14:paraId="2AA13E44" w14:textId="77777777" w:rsidR="004B7A16" w:rsidRPr="004B7A16" w:rsidRDefault="004B7A16" w:rsidP="004B7A16">
            <w:pPr>
              <w:pStyle w:val="Sinespaciado1"/>
              <w:rPr>
                <w:rFonts w:ascii="Gibson" w:hAnsi="Gibson" w:cstheme="minorHAnsi"/>
                <w:lang w:val="es-MX" w:eastAsia="en-US"/>
              </w:rPr>
            </w:pPr>
          </w:p>
          <w:p w14:paraId="06DE8635" w14:textId="77777777" w:rsidR="004B7A16" w:rsidRPr="004B7A16" w:rsidRDefault="004B7A16" w:rsidP="004B7A16">
            <w:pPr>
              <w:pStyle w:val="Sinespaciado1"/>
              <w:rPr>
                <w:rFonts w:ascii="Gibson" w:hAnsi="Gibson" w:cstheme="minorHAnsi"/>
                <w:lang w:val="es-MX" w:eastAsia="en-US"/>
              </w:rPr>
            </w:pPr>
            <w:r w:rsidRPr="004B7A16">
              <w:rPr>
                <w:rFonts w:ascii="Gibson" w:hAnsi="Gibson" w:cstheme="minorHAnsi"/>
                <w:lang w:val="es-MX" w:eastAsia="en-US"/>
              </w:rPr>
              <w:t>Tasa Base Fija: Significa la tasa fija que se determinará para la disposición del Financiamiento. Esta Tasa Base Fija no podrá exceder el límite establecido por la Tasa Base Fija Máxima.</w:t>
            </w:r>
          </w:p>
          <w:p w14:paraId="21CF4804" w14:textId="77777777" w:rsidR="004B7A16" w:rsidRPr="004B7A16" w:rsidRDefault="004B7A16" w:rsidP="004B7A16">
            <w:pPr>
              <w:pStyle w:val="Sinespaciado1"/>
              <w:rPr>
                <w:rFonts w:ascii="Gibson" w:hAnsi="Gibson" w:cstheme="minorHAnsi"/>
                <w:lang w:val="es-MX" w:eastAsia="en-US"/>
              </w:rPr>
            </w:pPr>
          </w:p>
          <w:p w14:paraId="280A941A" w14:textId="77777777" w:rsidR="004B7A16" w:rsidRPr="004B7A16" w:rsidRDefault="004B7A16" w:rsidP="004B7A16">
            <w:pPr>
              <w:pStyle w:val="Sinespaciado1"/>
              <w:rPr>
                <w:rFonts w:ascii="Gibson" w:hAnsi="Gibson" w:cstheme="minorHAnsi"/>
                <w:lang w:val="es-MX" w:eastAsia="en-US"/>
              </w:rPr>
            </w:pPr>
            <w:r w:rsidRPr="00BF628F">
              <w:rPr>
                <w:rFonts w:ascii="Gibson" w:hAnsi="Gibson" w:cstheme="minorHAnsi"/>
                <w:u w:val="single"/>
                <w:lang w:val="es-MX" w:eastAsia="en-US"/>
              </w:rPr>
              <w:lastRenderedPageBreak/>
              <w:t>Tasa Base Fija Máxima:</w:t>
            </w:r>
            <w:r w:rsidRPr="004B7A16">
              <w:rPr>
                <w:rFonts w:ascii="Gibson" w:hAnsi="Gibson" w:cstheme="minorHAnsi"/>
                <w:lang w:val="es-MX" w:eastAsia="en-US"/>
              </w:rPr>
              <w:t xml:space="preserve"> Significa el valor máximo que podrá tener la Tasa Base Fija para la disposición del Financiamiento, y será determinada conforme a lo dispuesto en el Anexo 4 de las Bases de Licitación.</w:t>
            </w:r>
          </w:p>
          <w:p w14:paraId="38E06A55" w14:textId="77777777" w:rsidR="004B7A16" w:rsidRPr="004B7A16" w:rsidRDefault="004B7A16" w:rsidP="004B7A16">
            <w:pPr>
              <w:pStyle w:val="Sinespaciado1"/>
              <w:rPr>
                <w:rFonts w:ascii="Gibson" w:hAnsi="Gibson" w:cstheme="minorHAnsi"/>
                <w:lang w:val="es-MX" w:eastAsia="en-US"/>
              </w:rPr>
            </w:pPr>
          </w:p>
          <w:p w14:paraId="145C2443" w14:textId="77777777" w:rsidR="004B7A16" w:rsidRPr="004B7A16" w:rsidRDefault="004B7A16" w:rsidP="004B7A16">
            <w:pPr>
              <w:pStyle w:val="Sinespaciado1"/>
              <w:rPr>
                <w:rFonts w:ascii="Gibson" w:hAnsi="Gibson" w:cstheme="minorHAnsi"/>
                <w:lang w:val="es-MX" w:eastAsia="en-US"/>
              </w:rPr>
            </w:pPr>
            <w:r w:rsidRPr="00BF628F">
              <w:rPr>
                <w:rFonts w:ascii="Gibson" w:hAnsi="Gibson" w:cstheme="minorHAnsi"/>
                <w:u w:val="single"/>
                <w:lang w:val="es-MX" w:eastAsia="en-US"/>
              </w:rPr>
              <w:t>Margen Aplicable:</w:t>
            </w:r>
            <w:r w:rsidRPr="004B7A16">
              <w:rPr>
                <w:rFonts w:ascii="Gibson" w:hAnsi="Gibson" w:cstheme="minorHAnsi"/>
                <w:lang w:val="es-MX" w:eastAsia="en-US"/>
              </w:rPr>
              <w:t xml:space="preserve"> Significa los puntos porcentuales que deberán sumarse a la Tasa Base Fija para componer la Tasa de Interés Aplicable, la cual no estará sujeta a revisión y ajuste durante la vida del Financiamiento. </w:t>
            </w:r>
          </w:p>
          <w:p w14:paraId="2DE7C89A" w14:textId="77777777" w:rsidR="004B7A16" w:rsidRPr="004B7A16" w:rsidRDefault="004B7A16" w:rsidP="004B7A16">
            <w:pPr>
              <w:pStyle w:val="Sinespaciado1"/>
              <w:rPr>
                <w:rFonts w:ascii="Gibson" w:hAnsi="Gibson" w:cstheme="minorHAnsi"/>
                <w:lang w:val="es-MX" w:eastAsia="en-US"/>
              </w:rPr>
            </w:pPr>
          </w:p>
          <w:p w14:paraId="30078082" w14:textId="77777777" w:rsidR="004B7A16" w:rsidRPr="004B7A16" w:rsidRDefault="004B7A16" w:rsidP="004B7A16">
            <w:pPr>
              <w:pStyle w:val="Sinespaciado1"/>
              <w:rPr>
                <w:rFonts w:ascii="Gibson" w:hAnsi="Gibson" w:cstheme="minorHAnsi"/>
                <w:lang w:val="es-MX" w:eastAsia="en-US"/>
              </w:rPr>
            </w:pPr>
            <w:r w:rsidRPr="004B7A16">
              <w:rPr>
                <w:rFonts w:ascii="Gibson" w:hAnsi="Gibson" w:cstheme="minorHAnsi"/>
                <w:lang w:val="es-MX" w:eastAsia="en-US"/>
              </w:rPr>
              <w:t>El Margen Aplicable se fijará previo a la única disposición de recursos, y se determinará conforme a lo siguiente:</w:t>
            </w:r>
          </w:p>
          <w:p w14:paraId="2AD9B66C" w14:textId="77777777" w:rsidR="004B7A16" w:rsidRPr="004B7A16" w:rsidRDefault="004B7A16" w:rsidP="004B7A16">
            <w:pPr>
              <w:pStyle w:val="Sinespaciado1"/>
              <w:rPr>
                <w:rFonts w:ascii="Gibson" w:hAnsi="Gibson" w:cstheme="minorHAnsi"/>
                <w:lang w:val="es-MX" w:eastAsia="en-US"/>
              </w:rPr>
            </w:pPr>
          </w:p>
          <w:p w14:paraId="7D3813BD" w14:textId="77777777" w:rsidR="004B7A16" w:rsidRPr="004B7A16" w:rsidRDefault="004B7A16" w:rsidP="004B7A16">
            <w:pPr>
              <w:pStyle w:val="Sinespaciado1"/>
              <w:rPr>
                <w:rFonts w:ascii="Gibson" w:hAnsi="Gibson" w:cstheme="minorHAnsi"/>
                <w:lang w:val="es-MX" w:eastAsia="en-US"/>
              </w:rPr>
            </w:pPr>
            <w:r w:rsidRPr="004B7A16">
              <w:rPr>
                <w:rFonts w:ascii="Gibson" w:hAnsi="Gibson" w:cstheme="minorHAnsi"/>
                <w:lang w:val="es-MX" w:eastAsia="en-US"/>
              </w:rPr>
              <w:t>a.</w:t>
            </w:r>
            <w:r w:rsidRPr="004B7A16">
              <w:rPr>
                <w:rFonts w:ascii="Gibson" w:hAnsi="Gibson" w:cstheme="minorHAnsi"/>
                <w:lang w:val="es-MX" w:eastAsia="en-US"/>
              </w:rPr>
              <w:tab/>
              <w:t>Si el Financiamiento cuenta con al menos 2 (dos) calificaciones de calidad crediticia otorgadas por al menos 2 (dos) Agencias Calificadoras, se revisará y ajustará el Margen Aplicable, tomando como base para ello la calificación de calidad crediticia de mayor grado de riesgo.</w:t>
            </w:r>
          </w:p>
          <w:p w14:paraId="6B5A36F0" w14:textId="77777777" w:rsidR="004B7A16" w:rsidRPr="004B7A16" w:rsidRDefault="004B7A16" w:rsidP="004B7A16">
            <w:pPr>
              <w:pStyle w:val="Sinespaciado1"/>
              <w:rPr>
                <w:rFonts w:ascii="Gibson" w:hAnsi="Gibson" w:cstheme="minorHAnsi"/>
                <w:lang w:val="es-MX" w:eastAsia="en-US"/>
              </w:rPr>
            </w:pPr>
          </w:p>
          <w:p w14:paraId="7EFA89FF" w14:textId="77777777" w:rsidR="004B7A16" w:rsidRPr="004B7A16" w:rsidRDefault="004B7A16" w:rsidP="004B7A16">
            <w:pPr>
              <w:pStyle w:val="Sinespaciado1"/>
              <w:rPr>
                <w:rFonts w:ascii="Gibson" w:hAnsi="Gibson" w:cstheme="minorHAnsi"/>
                <w:lang w:val="es-MX" w:eastAsia="en-US"/>
              </w:rPr>
            </w:pPr>
            <w:r w:rsidRPr="004B7A16">
              <w:rPr>
                <w:rFonts w:ascii="Gibson" w:hAnsi="Gibson" w:cstheme="minorHAnsi"/>
                <w:lang w:val="es-MX" w:eastAsia="en-US"/>
              </w:rPr>
              <w:t>b.</w:t>
            </w:r>
            <w:r w:rsidRPr="004B7A16">
              <w:rPr>
                <w:rFonts w:ascii="Gibson" w:hAnsi="Gibson" w:cstheme="minorHAnsi"/>
                <w:lang w:val="es-MX" w:eastAsia="en-US"/>
              </w:rPr>
              <w:tab/>
              <w:t xml:space="preserve">Si el Financiamiento cuenta con solo 1 (una) calificación o no se encuentra calificado y el Estado cuenta con al menos 2 (dos) calificaciones quirografarias, otorgadas por al menos 2 (dos) Agencias Calificadoras, se revisará y ajustará el Margen Aplicable, tomando como base para ello la calificación quirografaria de mayor grado de riesgo. </w:t>
            </w:r>
          </w:p>
          <w:p w14:paraId="6C8D02BB" w14:textId="77777777" w:rsidR="004B7A16" w:rsidRPr="004B7A16" w:rsidRDefault="004B7A16" w:rsidP="004B7A16">
            <w:pPr>
              <w:pStyle w:val="Sinespaciado1"/>
              <w:rPr>
                <w:rFonts w:ascii="Gibson" w:hAnsi="Gibson" w:cstheme="minorHAnsi"/>
                <w:lang w:val="es-MX" w:eastAsia="en-US"/>
              </w:rPr>
            </w:pPr>
          </w:p>
          <w:p w14:paraId="78AEACF3" w14:textId="77777777" w:rsidR="004B7A16" w:rsidRPr="004B7A16" w:rsidRDefault="004B7A16" w:rsidP="004B7A16">
            <w:pPr>
              <w:pStyle w:val="Sinespaciado1"/>
              <w:rPr>
                <w:rFonts w:ascii="Gibson" w:hAnsi="Gibson" w:cstheme="minorHAnsi"/>
                <w:lang w:val="es-MX" w:eastAsia="en-US"/>
              </w:rPr>
            </w:pPr>
            <w:r w:rsidRPr="004B7A16">
              <w:rPr>
                <w:rFonts w:ascii="Gibson" w:hAnsi="Gibson" w:cstheme="minorHAnsi"/>
                <w:lang w:val="es-MX" w:eastAsia="en-US"/>
              </w:rPr>
              <w:t>c.</w:t>
            </w:r>
            <w:r w:rsidRPr="004B7A16">
              <w:rPr>
                <w:rFonts w:ascii="Gibson" w:hAnsi="Gibson" w:cstheme="minorHAnsi"/>
                <w:lang w:val="es-MX" w:eastAsia="en-US"/>
              </w:rPr>
              <w:tab/>
              <w:t>Si el Financiamiento y el Estado no cuentan con cuando menos (2) dos calificaciones de calidad crediticia, el Margen Aplicable será el que corresponda al nivel de riesgo, “No calificado”.</w:t>
            </w:r>
          </w:p>
          <w:p w14:paraId="602DF191" w14:textId="77777777" w:rsidR="004B7A16" w:rsidRPr="004B7A16" w:rsidRDefault="004B7A16" w:rsidP="004B7A16">
            <w:pPr>
              <w:pStyle w:val="Sinespaciado1"/>
              <w:rPr>
                <w:rFonts w:ascii="Gibson" w:hAnsi="Gibson" w:cstheme="minorHAnsi"/>
                <w:lang w:val="es-MX" w:eastAsia="en-US"/>
              </w:rPr>
            </w:pPr>
          </w:p>
          <w:p w14:paraId="5D993B4A" w14:textId="77777777" w:rsidR="004B7A16" w:rsidRPr="004B7A16" w:rsidRDefault="004B7A16" w:rsidP="004B7A16">
            <w:pPr>
              <w:pStyle w:val="Sinespaciado1"/>
              <w:rPr>
                <w:rFonts w:ascii="Gibson" w:hAnsi="Gibson" w:cstheme="minorHAnsi"/>
                <w:lang w:val="es-MX" w:eastAsia="en-US"/>
              </w:rPr>
            </w:pPr>
            <w:r w:rsidRPr="004B7A16">
              <w:rPr>
                <w:rFonts w:ascii="Gibson" w:hAnsi="Gibson" w:cstheme="minorHAnsi"/>
                <w:lang w:val="es-MX" w:eastAsia="en-US"/>
              </w:rPr>
              <w:t>El Estado podrá (pero no estará obligado) calificar el Financiamiento por al menos 2 (dos) Agencias Calificadoras, en el entendido de que, en caso de que el Estado decida calificar el Financiamiento, estará obligado a obtener dichas calificaciones previo a la disposición de recursos.</w:t>
            </w:r>
          </w:p>
          <w:p w14:paraId="5A846A23" w14:textId="77777777" w:rsidR="004B7A16" w:rsidRPr="004B7A16" w:rsidRDefault="004B7A16" w:rsidP="004B7A16">
            <w:pPr>
              <w:pStyle w:val="Sinespaciado1"/>
              <w:rPr>
                <w:rFonts w:ascii="Gibson" w:hAnsi="Gibson" w:cstheme="minorHAnsi"/>
                <w:lang w:val="es-MX" w:eastAsia="en-US"/>
              </w:rPr>
            </w:pPr>
          </w:p>
          <w:p w14:paraId="24E89BE8" w14:textId="2C196404" w:rsidR="004B7A16" w:rsidRPr="004B7A16" w:rsidRDefault="004B7A16" w:rsidP="004B7A16">
            <w:pPr>
              <w:pStyle w:val="Sinespaciado1"/>
              <w:rPr>
                <w:rFonts w:ascii="Gibson" w:hAnsi="Gibson" w:cstheme="minorHAnsi"/>
                <w:lang w:val="es-MX" w:eastAsia="en-US"/>
              </w:rPr>
            </w:pPr>
            <w:r w:rsidRPr="004B7A16">
              <w:rPr>
                <w:rFonts w:ascii="Gibson" w:hAnsi="Gibson" w:cstheme="minorHAnsi"/>
                <w:lang w:val="es-MX" w:eastAsia="en-US"/>
              </w:rPr>
              <w:t>En el supuesto de que previo a la disposición de recursos el Margen Aplicable se determine con base en las calificaciones existentes del Financiamiento o del Estado otorgadas por cuando menos (2) Agencias Calificadoras, deberá mantener dichas calificaciones durante la vigencia del Financiamiento, en términos del Modelo de Crédito</w:t>
            </w:r>
            <w:r w:rsidR="006E2DD9">
              <w:rPr>
                <w:rFonts w:ascii="Gibson" w:hAnsi="Gibson" w:cstheme="minorHAnsi"/>
                <w:lang w:val="es-MX" w:eastAsia="en-US"/>
              </w:rPr>
              <w:t>.</w:t>
            </w:r>
          </w:p>
          <w:p w14:paraId="3A78D5B4" w14:textId="5460BDAB" w:rsidR="00537F87" w:rsidRPr="002F38EC" w:rsidRDefault="00537F87" w:rsidP="002E788A">
            <w:pPr>
              <w:pStyle w:val="Sinespaciado1"/>
              <w:rPr>
                <w:rFonts w:ascii="Gibson" w:hAnsi="Gibson" w:cstheme="minorHAnsi"/>
                <w:lang w:val="es-MX" w:eastAsia="en-US"/>
              </w:rPr>
            </w:pPr>
          </w:p>
        </w:tc>
      </w:tr>
      <w:tr w:rsidR="004C2A5D" w:rsidRPr="006D1E13" w14:paraId="3856D45A" w14:textId="77777777" w:rsidTr="006F44C0">
        <w:tc>
          <w:tcPr>
            <w:tcW w:w="2694" w:type="dxa"/>
            <w:tcBorders>
              <w:top w:val="single" w:sz="4" w:space="0" w:color="auto"/>
              <w:left w:val="single" w:sz="4" w:space="0" w:color="auto"/>
              <w:bottom w:val="single" w:sz="4" w:space="0" w:color="auto"/>
              <w:right w:val="single" w:sz="4" w:space="0" w:color="auto"/>
            </w:tcBorders>
          </w:tcPr>
          <w:p w14:paraId="01739A10" w14:textId="5BDB50F5" w:rsidR="004C2A5D" w:rsidRPr="002F38EC" w:rsidRDefault="00432637" w:rsidP="002F38EC">
            <w:pPr>
              <w:spacing w:line="240" w:lineRule="auto"/>
              <w:jc w:val="left"/>
              <w:rPr>
                <w:rFonts w:ascii="Gibson" w:hAnsi="Gibson" w:cstheme="minorHAnsi"/>
                <w:b/>
                <w:spacing w:val="0"/>
                <w:lang w:val="es-MX"/>
              </w:rPr>
            </w:pPr>
            <w:r w:rsidRPr="002F38EC">
              <w:rPr>
                <w:rFonts w:ascii="Gibson" w:hAnsi="Gibson" w:cstheme="minorHAnsi"/>
                <w:b/>
                <w:lang w:val="es-MX"/>
              </w:rPr>
              <w:lastRenderedPageBreak/>
              <w:t>Recurso a otorgar como f</w:t>
            </w:r>
            <w:r w:rsidR="004C2A5D" w:rsidRPr="002F38EC">
              <w:rPr>
                <w:rFonts w:ascii="Gibson" w:hAnsi="Gibson" w:cstheme="minorHAnsi"/>
                <w:b/>
                <w:lang w:val="es-MX"/>
              </w:rPr>
              <w:t>uente de pago:</w:t>
            </w:r>
          </w:p>
          <w:p w14:paraId="4AEA18A0" w14:textId="77777777" w:rsidR="004C2A5D" w:rsidRPr="002F38EC" w:rsidRDefault="004C2A5D" w:rsidP="002F38EC">
            <w:pPr>
              <w:spacing w:line="240" w:lineRule="auto"/>
              <w:jc w:val="left"/>
              <w:rPr>
                <w:rFonts w:ascii="Gibson" w:hAnsi="Gibson" w:cstheme="minorHAnsi"/>
                <w:b/>
                <w:lang w:val="es-MX"/>
              </w:rPr>
            </w:pPr>
          </w:p>
        </w:tc>
        <w:tc>
          <w:tcPr>
            <w:tcW w:w="6237" w:type="dxa"/>
            <w:tcBorders>
              <w:top w:val="single" w:sz="4" w:space="0" w:color="auto"/>
              <w:left w:val="single" w:sz="4" w:space="0" w:color="auto"/>
              <w:bottom w:val="single" w:sz="4" w:space="0" w:color="auto"/>
              <w:right w:val="single" w:sz="4" w:space="0" w:color="auto"/>
            </w:tcBorders>
          </w:tcPr>
          <w:p w14:paraId="7D18B7F9" w14:textId="5A3B8342" w:rsidR="00F459CC" w:rsidRPr="002F38EC" w:rsidRDefault="00E43515">
            <w:pPr>
              <w:spacing w:line="240" w:lineRule="auto"/>
              <w:rPr>
                <w:rFonts w:ascii="Gibson" w:hAnsi="Gibson" w:cstheme="minorHAnsi"/>
                <w:lang w:val="es-MX"/>
              </w:rPr>
            </w:pPr>
            <w:r>
              <w:rPr>
                <w:rFonts w:ascii="Gibson" w:eastAsia="Arial" w:hAnsi="Gibson" w:cstheme="minorHAnsi"/>
                <w:bCs/>
                <w:lang w:val="es-MX"/>
              </w:rPr>
              <w:t>L</w:t>
            </w:r>
            <w:r w:rsidRPr="00E43515">
              <w:rPr>
                <w:rFonts w:ascii="Gibson" w:eastAsia="Arial" w:hAnsi="Gibson" w:cstheme="minorHAnsi"/>
                <w:bCs/>
                <w:lang w:val="es-MX"/>
              </w:rPr>
              <w:t>os derechos e ingresos de hasta el 25% (veinticinco por ciento) anual del derecho a recibir y los flujos de recursos de las aportaciones federales presentes y futuras que le correspondan al Estado del Fondo de Aportaciones para el Fortalecimiento de las Entidades Federativas (el "Porcentaje FAFEF "), en términos de lo previsto en el artículo 50 de la Ley de Coordinación Fiscal, pudiendo destinar al servicio de la deuda derivada de la contratación de los créditos, lo que resulte mayor entre aplicar el 25% (veinticinco por ciento) a los recursos del Fondo de Aportaciones para el Fortalecimiento de las Entidades Federativas correspondientes al año de que se trate o a los recursos correspondientes al año en que el financiamiento de que se trate haya sido contratado, así como cualquier otro derecho e ingreso que, en su caso, lo modifique, sustituya o complemente, sin afectar derechos de terceros.</w:t>
            </w:r>
          </w:p>
        </w:tc>
      </w:tr>
      <w:tr w:rsidR="000E2F34" w:rsidRPr="006D1E13" w14:paraId="1AB0840A" w14:textId="77777777" w:rsidTr="006F44C0">
        <w:tc>
          <w:tcPr>
            <w:tcW w:w="2694" w:type="dxa"/>
            <w:tcBorders>
              <w:top w:val="single" w:sz="4" w:space="0" w:color="auto"/>
              <w:left w:val="single" w:sz="4" w:space="0" w:color="auto"/>
              <w:bottom w:val="single" w:sz="4" w:space="0" w:color="auto"/>
              <w:right w:val="single" w:sz="4" w:space="0" w:color="auto"/>
            </w:tcBorders>
          </w:tcPr>
          <w:p w14:paraId="31B34F82" w14:textId="2B52996D" w:rsidR="000E2F34" w:rsidRPr="002F38EC" w:rsidRDefault="000E2F34" w:rsidP="002F38EC">
            <w:pPr>
              <w:spacing w:line="240" w:lineRule="auto"/>
              <w:jc w:val="left"/>
              <w:rPr>
                <w:rFonts w:ascii="Gibson" w:hAnsi="Gibson" w:cstheme="minorHAnsi"/>
                <w:b/>
                <w:lang w:val="es-MX"/>
              </w:rPr>
            </w:pPr>
            <w:r w:rsidRPr="000E2F34">
              <w:rPr>
                <w:rFonts w:ascii="Gibson" w:hAnsi="Gibson" w:cstheme="minorHAnsi"/>
                <w:b/>
                <w:lang w:val="es-MX"/>
              </w:rPr>
              <w:lastRenderedPageBreak/>
              <w:t>Fondo de reserva</w:t>
            </w:r>
            <w:r>
              <w:rPr>
                <w:rFonts w:ascii="Gibson" w:hAnsi="Gibson" w:cstheme="minorHAnsi"/>
                <w:b/>
                <w:lang w:val="es-MX"/>
              </w:rPr>
              <w:t>:</w:t>
            </w:r>
          </w:p>
        </w:tc>
        <w:tc>
          <w:tcPr>
            <w:tcW w:w="6237" w:type="dxa"/>
            <w:tcBorders>
              <w:top w:val="single" w:sz="4" w:space="0" w:color="auto"/>
              <w:left w:val="single" w:sz="4" w:space="0" w:color="auto"/>
              <w:bottom w:val="single" w:sz="4" w:space="0" w:color="auto"/>
              <w:right w:val="single" w:sz="4" w:space="0" w:color="auto"/>
            </w:tcBorders>
          </w:tcPr>
          <w:p w14:paraId="46FE091D" w14:textId="67046E9C" w:rsidR="000E2F34" w:rsidRPr="002F38EC" w:rsidRDefault="008C692B" w:rsidP="000E2F34">
            <w:pPr>
              <w:rPr>
                <w:rFonts w:ascii="Gibson" w:hAnsi="Gibson" w:cstheme="minorHAnsi"/>
                <w:lang w:val="es-MX"/>
              </w:rPr>
            </w:pPr>
            <w:r w:rsidRPr="008C692B">
              <w:rPr>
                <w:rFonts w:ascii="Gibson" w:hAnsi="Gibson" w:cstheme="minorHAnsi"/>
                <w:lang w:val="es-MX"/>
              </w:rPr>
              <w:t xml:space="preserve">A elección del licitante ganador, podrá solicitarse la constitución de un fondo de reserva para pago de capital e intereses, equivalente a </w:t>
            </w:r>
            <w:r w:rsidR="00DA0562">
              <w:rPr>
                <w:rFonts w:ascii="Gibson" w:hAnsi="Gibson" w:cstheme="minorHAnsi"/>
                <w:lang w:val="es-MX"/>
              </w:rPr>
              <w:t>1</w:t>
            </w:r>
            <w:r w:rsidRPr="008C692B">
              <w:rPr>
                <w:rFonts w:ascii="Gibson" w:hAnsi="Gibson" w:cstheme="minorHAnsi"/>
                <w:lang w:val="es-MX"/>
              </w:rPr>
              <w:t xml:space="preserve"> mes del servicio de la deuda, el cual se constituirá con cargo a recursos propios del Estado, mediante su aportación al Fideicomiso, y ajenos del crédito; y ante eventual caso de que se utilice dicho fondo de reserva se deberá restituir por parte del Estado con cargo a sus recursos de manera previa a la siguiente fecha de pago, realizando la aportación adicional al Fideicomiso</w:t>
            </w:r>
          </w:p>
        </w:tc>
      </w:tr>
      <w:tr w:rsidR="004C2A5D" w:rsidRPr="006D1E13" w14:paraId="30F5396B" w14:textId="77777777" w:rsidTr="006F44C0">
        <w:tc>
          <w:tcPr>
            <w:tcW w:w="2694" w:type="dxa"/>
            <w:tcBorders>
              <w:top w:val="single" w:sz="4" w:space="0" w:color="auto"/>
              <w:left w:val="single" w:sz="4" w:space="0" w:color="auto"/>
              <w:bottom w:val="single" w:sz="4" w:space="0" w:color="auto"/>
              <w:right w:val="single" w:sz="4" w:space="0" w:color="auto"/>
            </w:tcBorders>
            <w:hideMark/>
          </w:tcPr>
          <w:p w14:paraId="761D5523" w14:textId="77777777" w:rsidR="004C2A5D" w:rsidRPr="002F38EC" w:rsidRDefault="004C2A5D" w:rsidP="002F38EC">
            <w:pPr>
              <w:spacing w:line="240" w:lineRule="auto"/>
              <w:jc w:val="left"/>
              <w:rPr>
                <w:rFonts w:ascii="Gibson" w:hAnsi="Gibson" w:cstheme="minorHAnsi"/>
                <w:b/>
                <w:lang w:val="es-MX"/>
              </w:rPr>
            </w:pPr>
            <w:r w:rsidRPr="002F38EC">
              <w:rPr>
                <w:rFonts w:ascii="Gibson" w:hAnsi="Gibson" w:cstheme="minorHAnsi"/>
                <w:b/>
                <w:lang w:val="es-MX"/>
              </w:rPr>
              <w:t>Mecanismo de afectación:</w:t>
            </w:r>
          </w:p>
        </w:tc>
        <w:tc>
          <w:tcPr>
            <w:tcW w:w="6237" w:type="dxa"/>
            <w:tcBorders>
              <w:top w:val="single" w:sz="4" w:space="0" w:color="auto"/>
              <w:left w:val="single" w:sz="4" w:space="0" w:color="auto"/>
              <w:bottom w:val="single" w:sz="4" w:space="0" w:color="auto"/>
              <w:right w:val="single" w:sz="4" w:space="0" w:color="auto"/>
            </w:tcBorders>
          </w:tcPr>
          <w:p w14:paraId="7420FF76" w14:textId="081227B2" w:rsidR="004C2A5D" w:rsidRPr="002F38EC" w:rsidRDefault="00FD38BB" w:rsidP="002E788A">
            <w:pPr>
              <w:spacing w:line="240" w:lineRule="auto"/>
              <w:rPr>
                <w:rFonts w:ascii="Gibson" w:eastAsia="Arial" w:hAnsi="Gibson" w:cstheme="minorHAnsi"/>
                <w:lang w:val="es-MX"/>
              </w:rPr>
            </w:pPr>
            <w:r>
              <w:rPr>
                <w:rFonts w:ascii="Gibson" w:hAnsi="Gibson" w:cstheme="minorHAnsi"/>
                <w:lang w:val="es-MX"/>
              </w:rPr>
              <w:t>F</w:t>
            </w:r>
            <w:r w:rsidRPr="00FD38BB">
              <w:rPr>
                <w:rFonts w:ascii="Gibson" w:hAnsi="Gibson" w:cstheme="minorHAnsi"/>
                <w:lang w:val="es-MX"/>
              </w:rPr>
              <w:t>ideicomiso irrevocable de administración y fuente de pago, que el Estado constituirá como fideicomitente, con la institución financiera de su elección como fiduciario</w:t>
            </w:r>
            <w:r>
              <w:rPr>
                <w:rFonts w:ascii="Gibson" w:hAnsi="Gibson" w:cstheme="minorHAnsi"/>
                <w:lang w:val="es-MX"/>
              </w:rPr>
              <w:t xml:space="preserve">, </w:t>
            </w:r>
            <w:r w:rsidRPr="00FD38BB">
              <w:rPr>
                <w:rFonts w:ascii="Gibson" w:hAnsi="Gibson" w:cstheme="minorHAnsi"/>
                <w:lang w:val="es-MX"/>
              </w:rPr>
              <w:t>el cual recibirá el Porcentaje del FAFEF afectado, para que este sirva como mecanismo y fuente de pago del Contrato de Crédito que, en su caso, celebre el Estado para obtener el Financiamiento solicitado, en el cual el acreditante tendrá la calidad de Fideicomisario en Primer Lugar.</w:t>
            </w:r>
          </w:p>
        </w:tc>
      </w:tr>
      <w:tr w:rsidR="004C2A5D" w:rsidRPr="006D1E13" w14:paraId="34CFDA30" w14:textId="77777777" w:rsidTr="006F44C0">
        <w:tc>
          <w:tcPr>
            <w:tcW w:w="2694" w:type="dxa"/>
            <w:tcBorders>
              <w:top w:val="single" w:sz="4" w:space="0" w:color="auto"/>
              <w:left w:val="single" w:sz="4" w:space="0" w:color="auto"/>
              <w:bottom w:val="single" w:sz="4" w:space="0" w:color="auto"/>
              <w:right w:val="single" w:sz="4" w:space="0" w:color="auto"/>
            </w:tcBorders>
          </w:tcPr>
          <w:p w14:paraId="4AA898E9" w14:textId="77777777" w:rsidR="004C2A5D" w:rsidRPr="002F38EC" w:rsidRDefault="004C2A5D" w:rsidP="002F38EC">
            <w:pPr>
              <w:spacing w:line="240" w:lineRule="auto"/>
              <w:jc w:val="left"/>
              <w:rPr>
                <w:rFonts w:ascii="Gibson" w:eastAsia="Arial" w:hAnsi="Gibson" w:cstheme="minorHAnsi"/>
                <w:b/>
                <w:bCs/>
                <w:lang w:val="es-MX"/>
              </w:rPr>
            </w:pPr>
            <w:r w:rsidRPr="002F38EC">
              <w:rPr>
                <w:rFonts w:ascii="Gibson" w:eastAsia="Arial" w:hAnsi="Gibson" w:cstheme="minorHAnsi"/>
                <w:b/>
                <w:bCs/>
                <w:lang w:val="es-MX"/>
              </w:rPr>
              <w:t>Instrumentos Derivados:</w:t>
            </w:r>
          </w:p>
          <w:p w14:paraId="40FEF0B8" w14:textId="77777777" w:rsidR="004C2A5D" w:rsidRPr="002F38EC" w:rsidRDefault="004C2A5D" w:rsidP="002F38EC">
            <w:pPr>
              <w:spacing w:line="240" w:lineRule="auto"/>
              <w:jc w:val="left"/>
              <w:rPr>
                <w:rFonts w:ascii="Gibson" w:eastAsia="Arial" w:hAnsi="Gibson" w:cstheme="minorHAnsi"/>
                <w:b/>
                <w:bCs/>
                <w:lang w:val="es-MX"/>
              </w:rPr>
            </w:pPr>
          </w:p>
        </w:tc>
        <w:tc>
          <w:tcPr>
            <w:tcW w:w="6237" w:type="dxa"/>
            <w:tcBorders>
              <w:top w:val="single" w:sz="4" w:space="0" w:color="auto"/>
              <w:left w:val="single" w:sz="4" w:space="0" w:color="auto"/>
              <w:bottom w:val="single" w:sz="4" w:space="0" w:color="auto"/>
              <w:right w:val="single" w:sz="4" w:space="0" w:color="auto"/>
            </w:tcBorders>
          </w:tcPr>
          <w:p w14:paraId="49C56566" w14:textId="60D3FDE4" w:rsidR="004C2A5D" w:rsidRPr="002F38EC" w:rsidRDefault="00330F3E" w:rsidP="002E788A">
            <w:pPr>
              <w:spacing w:line="240" w:lineRule="auto"/>
              <w:rPr>
                <w:rFonts w:ascii="Gibson" w:eastAsia="Arial" w:hAnsi="Gibson" w:cstheme="minorHAnsi"/>
                <w:bCs/>
                <w:lang w:val="es-MX"/>
              </w:rPr>
            </w:pPr>
            <w:r>
              <w:rPr>
                <w:rFonts w:ascii="Gibson" w:eastAsia="Arial" w:hAnsi="Gibson" w:cstheme="minorHAnsi"/>
                <w:bCs/>
                <w:lang w:val="es-MX"/>
              </w:rPr>
              <w:t>Sin</w:t>
            </w:r>
            <w:r w:rsidR="007457A6" w:rsidRPr="007457A6">
              <w:rPr>
                <w:rFonts w:ascii="Gibson" w:eastAsia="Arial" w:hAnsi="Gibson" w:cstheme="minorHAnsi"/>
                <w:bCs/>
                <w:lang w:val="es-MX"/>
              </w:rPr>
              <w:t xml:space="preserve"> instrumentos derivados. </w:t>
            </w:r>
          </w:p>
        </w:tc>
      </w:tr>
      <w:tr w:rsidR="007457A6" w:rsidRPr="006D1E13" w14:paraId="55CC502E" w14:textId="77777777" w:rsidTr="006F44C0">
        <w:tc>
          <w:tcPr>
            <w:tcW w:w="2694" w:type="dxa"/>
            <w:tcBorders>
              <w:top w:val="single" w:sz="4" w:space="0" w:color="auto"/>
              <w:left w:val="single" w:sz="4" w:space="0" w:color="auto"/>
              <w:bottom w:val="single" w:sz="4" w:space="0" w:color="auto"/>
              <w:right w:val="single" w:sz="4" w:space="0" w:color="auto"/>
            </w:tcBorders>
          </w:tcPr>
          <w:p w14:paraId="5D92A828" w14:textId="2B48304A" w:rsidR="007457A6" w:rsidRPr="002F38EC" w:rsidRDefault="007457A6" w:rsidP="002F38EC">
            <w:pPr>
              <w:spacing w:line="240" w:lineRule="auto"/>
              <w:jc w:val="left"/>
              <w:rPr>
                <w:rFonts w:ascii="Gibson" w:eastAsia="Arial" w:hAnsi="Gibson" w:cstheme="minorHAnsi"/>
                <w:b/>
                <w:bCs/>
                <w:lang w:val="es-MX"/>
              </w:rPr>
            </w:pPr>
            <w:r w:rsidRPr="007457A6">
              <w:rPr>
                <w:rFonts w:ascii="Gibson" w:eastAsia="Arial" w:hAnsi="Gibson" w:cstheme="minorHAnsi"/>
                <w:b/>
                <w:bCs/>
                <w:lang w:val="es-MX"/>
              </w:rPr>
              <w:t>Garantía a otorgar:</w:t>
            </w:r>
          </w:p>
        </w:tc>
        <w:tc>
          <w:tcPr>
            <w:tcW w:w="6237" w:type="dxa"/>
            <w:tcBorders>
              <w:top w:val="single" w:sz="4" w:space="0" w:color="auto"/>
              <w:left w:val="single" w:sz="4" w:space="0" w:color="auto"/>
              <w:bottom w:val="single" w:sz="4" w:space="0" w:color="auto"/>
              <w:right w:val="single" w:sz="4" w:space="0" w:color="auto"/>
            </w:tcBorders>
          </w:tcPr>
          <w:p w14:paraId="5E49F1C1" w14:textId="30AAE6C3" w:rsidR="007457A6" w:rsidRPr="002F38EC" w:rsidRDefault="007457A6" w:rsidP="00F459CC">
            <w:pPr>
              <w:tabs>
                <w:tab w:val="center" w:pos="2970"/>
              </w:tabs>
              <w:spacing w:line="240" w:lineRule="auto"/>
              <w:rPr>
                <w:rFonts w:ascii="Gibson" w:eastAsia="Arial" w:hAnsi="Gibson" w:cstheme="minorHAnsi"/>
                <w:bCs/>
                <w:lang w:val="es-MX"/>
              </w:rPr>
            </w:pPr>
            <w:r>
              <w:rPr>
                <w:rFonts w:ascii="Gibson" w:eastAsia="Arial" w:hAnsi="Gibson" w:cstheme="minorHAnsi"/>
                <w:bCs/>
                <w:lang w:val="es-MX"/>
              </w:rPr>
              <w:t xml:space="preserve">Sin </w:t>
            </w:r>
            <w:r w:rsidRPr="007457A6">
              <w:rPr>
                <w:rFonts w:ascii="Gibson" w:eastAsia="Arial" w:hAnsi="Gibson" w:cstheme="minorHAnsi"/>
                <w:bCs/>
                <w:lang w:val="es-MX"/>
              </w:rPr>
              <w:t xml:space="preserve">garantía de pago oportuno asociada al </w:t>
            </w:r>
            <w:r w:rsidR="00330F3E">
              <w:rPr>
                <w:rFonts w:ascii="Gibson" w:eastAsia="Arial" w:hAnsi="Gibson" w:cstheme="minorHAnsi"/>
                <w:bCs/>
                <w:lang w:val="es-MX"/>
              </w:rPr>
              <w:t>financiamiento.</w:t>
            </w:r>
          </w:p>
        </w:tc>
      </w:tr>
      <w:tr w:rsidR="004C2A5D" w:rsidRPr="006D1E13" w14:paraId="70281AA6" w14:textId="77777777" w:rsidTr="006F44C0">
        <w:tc>
          <w:tcPr>
            <w:tcW w:w="2694" w:type="dxa"/>
            <w:tcBorders>
              <w:top w:val="single" w:sz="4" w:space="0" w:color="auto"/>
              <w:left w:val="single" w:sz="4" w:space="0" w:color="auto"/>
              <w:bottom w:val="single" w:sz="4" w:space="0" w:color="auto"/>
              <w:right w:val="single" w:sz="4" w:space="0" w:color="auto"/>
            </w:tcBorders>
            <w:hideMark/>
          </w:tcPr>
          <w:p w14:paraId="24F23F00" w14:textId="77777777" w:rsidR="004C2A5D" w:rsidRPr="002F38EC" w:rsidRDefault="004C2A5D" w:rsidP="002F38EC">
            <w:pPr>
              <w:spacing w:line="240" w:lineRule="auto"/>
              <w:jc w:val="left"/>
              <w:rPr>
                <w:rFonts w:ascii="Gibson" w:eastAsia="Arial" w:hAnsi="Gibson" w:cstheme="minorHAnsi"/>
                <w:b/>
                <w:bCs/>
                <w:lang w:val="es-MX"/>
              </w:rPr>
            </w:pPr>
            <w:r w:rsidRPr="002F38EC">
              <w:rPr>
                <w:rFonts w:ascii="Gibson" w:eastAsia="Arial" w:hAnsi="Gibson" w:cstheme="minorHAnsi"/>
                <w:b/>
                <w:bCs/>
                <w:lang w:val="es-MX"/>
              </w:rPr>
              <w:t>Gastos Adicionales:</w:t>
            </w:r>
          </w:p>
        </w:tc>
        <w:tc>
          <w:tcPr>
            <w:tcW w:w="6237" w:type="dxa"/>
            <w:tcBorders>
              <w:top w:val="single" w:sz="4" w:space="0" w:color="auto"/>
              <w:left w:val="single" w:sz="4" w:space="0" w:color="auto"/>
              <w:bottom w:val="single" w:sz="4" w:space="0" w:color="auto"/>
              <w:right w:val="single" w:sz="4" w:space="0" w:color="auto"/>
            </w:tcBorders>
          </w:tcPr>
          <w:p w14:paraId="02EC45FD" w14:textId="77777777" w:rsidR="00F459CC" w:rsidRPr="002F38EC" w:rsidRDefault="004C2A5D" w:rsidP="00F459CC">
            <w:pPr>
              <w:tabs>
                <w:tab w:val="center" w:pos="2970"/>
              </w:tabs>
              <w:spacing w:line="240" w:lineRule="auto"/>
              <w:rPr>
                <w:rFonts w:ascii="Gibson" w:eastAsia="Arial" w:hAnsi="Gibson" w:cstheme="minorHAnsi"/>
                <w:bCs/>
                <w:lang w:val="es-MX"/>
              </w:rPr>
            </w:pPr>
            <w:r w:rsidRPr="002F38EC">
              <w:rPr>
                <w:rFonts w:ascii="Gibson" w:eastAsia="Arial" w:hAnsi="Gibson" w:cstheme="minorHAnsi"/>
                <w:bCs/>
                <w:lang w:val="es-MX"/>
              </w:rPr>
              <w:t xml:space="preserve">Sin Gastos Adicionales. </w:t>
            </w:r>
          </w:p>
          <w:p w14:paraId="3290981B" w14:textId="01E5FB66" w:rsidR="004C2A5D" w:rsidRPr="002F38EC" w:rsidRDefault="004C2A5D" w:rsidP="00F459CC">
            <w:pPr>
              <w:tabs>
                <w:tab w:val="center" w:pos="2970"/>
              </w:tabs>
              <w:spacing w:line="240" w:lineRule="auto"/>
              <w:rPr>
                <w:rFonts w:ascii="Gibson" w:eastAsia="Arial" w:hAnsi="Gibson" w:cstheme="minorHAnsi"/>
                <w:bCs/>
                <w:lang w:val="es-MX"/>
              </w:rPr>
            </w:pPr>
          </w:p>
        </w:tc>
      </w:tr>
      <w:tr w:rsidR="004C2A5D" w:rsidRPr="006D1E13" w14:paraId="120AB77A" w14:textId="77777777" w:rsidTr="006F44C0">
        <w:tc>
          <w:tcPr>
            <w:tcW w:w="2694" w:type="dxa"/>
            <w:tcBorders>
              <w:top w:val="single" w:sz="4" w:space="0" w:color="auto"/>
              <w:left w:val="single" w:sz="4" w:space="0" w:color="auto"/>
              <w:bottom w:val="single" w:sz="4" w:space="0" w:color="auto"/>
              <w:right w:val="single" w:sz="4" w:space="0" w:color="auto"/>
            </w:tcBorders>
            <w:hideMark/>
          </w:tcPr>
          <w:p w14:paraId="34387BCB" w14:textId="3D459DE7" w:rsidR="004C2A5D" w:rsidRPr="002F38EC" w:rsidRDefault="004C2A5D" w:rsidP="002F38EC">
            <w:pPr>
              <w:spacing w:line="240" w:lineRule="auto"/>
              <w:jc w:val="left"/>
              <w:rPr>
                <w:rFonts w:ascii="Gibson" w:eastAsia="Arial" w:hAnsi="Gibson" w:cstheme="minorHAnsi"/>
                <w:b/>
                <w:bCs/>
                <w:lang w:val="es-MX"/>
              </w:rPr>
            </w:pPr>
            <w:r w:rsidRPr="002F38EC">
              <w:rPr>
                <w:rFonts w:ascii="Gibson" w:eastAsia="Arial" w:hAnsi="Gibson" w:cstheme="minorHAnsi"/>
                <w:b/>
                <w:bCs/>
                <w:lang w:val="es-MX"/>
              </w:rPr>
              <w:t xml:space="preserve">Gastos Adicionales Contingentes: </w:t>
            </w:r>
          </w:p>
          <w:p w14:paraId="4D934026" w14:textId="0562A3F4" w:rsidR="00A2169A" w:rsidRPr="002F38EC" w:rsidRDefault="00A2169A" w:rsidP="002F38EC">
            <w:pPr>
              <w:spacing w:line="240" w:lineRule="auto"/>
              <w:jc w:val="left"/>
              <w:rPr>
                <w:rFonts w:ascii="Gibson" w:eastAsia="Arial" w:hAnsi="Gibson" w:cstheme="minorHAnsi"/>
                <w:b/>
                <w:bCs/>
                <w:lang w:val="es-MX"/>
              </w:rPr>
            </w:pPr>
          </w:p>
        </w:tc>
        <w:tc>
          <w:tcPr>
            <w:tcW w:w="6237" w:type="dxa"/>
            <w:tcBorders>
              <w:top w:val="single" w:sz="4" w:space="0" w:color="auto"/>
              <w:left w:val="single" w:sz="4" w:space="0" w:color="auto"/>
              <w:bottom w:val="single" w:sz="4" w:space="0" w:color="auto"/>
              <w:right w:val="single" w:sz="4" w:space="0" w:color="auto"/>
            </w:tcBorders>
            <w:hideMark/>
          </w:tcPr>
          <w:p w14:paraId="2510D6BC" w14:textId="02FD94E5" w:rsidR="004C2A5D" w:rsidRPr="002F38EC" w:rsidRDefault="00873EC8" w:rsidP="002E788A">
            <w:pPr>
              <w:spacing w:line="240" w:lineRule="auto"/>
              <w:rPr>
                <w:rFonts w:ascii="Gibson" w:eastAsia="Arial" w:hAnsi="Gibson" w:cstheme="minorHAnsi"/>
                <w:color w:val="000000"/>
                <w:spacing w:val="-1"/>
                <w:lang w:val="es-MX"/>
              </w:rPr>
            </w:pPr>
            <w:r w:rsidRPr="006E2DD9">
              <w:rPr>
                <w:rFonts w:ascii="Gibson" w:hAnsi="Gibson" w:cstheme="minorHAnsi"/>
                <w:sz w:val="18"/>
                <w:szCs w:val="18"/>
              </w:rPr>
              <w:t>[•]</w:t>
            </w:r>
            <w:r w:rsidR="004C2A5D" w:rsidRPr="002F38EC">
              <w:rPr>
                <w:rFonts w:ascii="Gibson" w:eastAsia="Arial" w:hAnsi="Gibson" w:cstheme="minorHAnsi"/>
                <w:color w:val="000000"/>
                <w:spacing w:val="-1"/>
                <w:lang w:val="es-MX"/>
              </w:rPr>
              <w:t xml:space="preserve"> </w:t>
            </w:r>
            <w:r w:rsidRPr="00873EC8">
              <w:rPr>
                <w:rFonts w:ascii="Gibson" w:eastAsia="Arial" w:hAnsi="Gibson" w:cstheme="minorHAnsi"/>
                <w:color w:val="000000"/>
                <w:spacing w:val="-1"/>
                <w:lang w:val="es-MX"/>
              </w:rPr>
              <w:t xml:space="preserve">El Banco deberá </w:t>
            </w:r>
            <w:r>
              <w:rPr>
                <w:rFonts w:ascii="Gibson" w:eastAsia="Arial" w:hAnsi="Gibson" w:cstheme="minorHAnsi"/>
                <w:color w:val="000000"/>
                <w:spacing w:val="-1"/>
                <w:lang w:val="es-MX"/>
              </w:rPr>
              <w:t>señalar l</w:t>
            </w:r>
            <w:r w:rsidR="00043AC8">
              <w:rPr>
                <w:rFonts w:ascii="Gibson" w:eastAsia="Arial" w:hAnsi="Gibson" w:cstheme="minorHAnsi"/>
                <w:color w:val="000000"/>
                <w:spacing w:val="-1"/>
                <w:lang w:val="es-MX"/>
              </w:rPr>
              <w:t>a</w:t>
            </w:r>
            <w:r>
              <w:rPr>
                <w:rFonts w:ascii="Gibson" w:eastAsia="Arial" w:hAnsi="Gibson" w:cstheme="minorHAnsi"/>
                <w:color w:val="000000"/>
                <w:spacing w:val="-1"/>
                <w:lang w:val="es-MX"/>
              </w:rPr>
              <w:t xml:space="preserve">s Gastos Adicionales </w:t>
            </w:r>
            <w:r w:rsidR="00043AC8">
              <w:rPr>
                <w:rFonts w:ascii="Gibson" w:eastAsia="Arial" w:hAnsi="Gibson" w:cstheme="minorHAnsi"/>
                <w:color w:val="000000"/>
                <w:spacing w:val="-1"/>
                <w:lang w:val="es-MX"/>
              </w:rPr>
              <w:t>Contingentes</w:t>
            </w:r>
            <w:r w:rsidR="00FB134E">
              <w:rPr>
                <w:rFonts w:ascii="Gibson" w:eastAsia="Arial" w:hAnsi="Gibson" w:cstheme="minorHAnsi"/>
                <w:color w:val="000000"/>
                <w:spacing w:val="-1"/>
                <w:lang w:val="es-MX"/>
              </w:rPr>
              <w:t>.</w:t>
            </w:r>
          </w:p>
        </w:tc>
      </w:tr>
      <w:tr w:rsidR="00DF0525" w:rsidRPr="006D1E13" w14:paraId="030394C6" w14:textId="77777777" w:rsidTr="006F44C0">
        <w:tc>
          <w:tcPr>
            <w:tcW w:w="2694" w:type="dxa"/>
            <w:tcBorders>
              <w:top w:val="single" w:sz="4" w:space="0" w:color="auto"/>
              <w:left w:val="single" w:sz="4" w:space="0" w:color="auto"/>
              <w:bottom w:val="single" w:sz="4" w:space="0" w:color="auto"/>
              <w:right w:val="single" w:sz="4" w:space="0" w:color="auto"/>
            </w:tcBorders>
          </w:tcPr>
          <w:p w14:paraId="120B4B20" w14:textId="145F9AA1" w:rsidR="00DF0525" w:rsidRPr="002F38EC" w:rsidRDefault="00DF0525" w:rsidP="002F38EC">
            <w:pPr>
              <w:spacing w:line="240" w:lineRule="auto"/>
              <w:jc w:val="left"/>
              <w:rPr>
                <w:rFonts w:ascii="Gibson" w:eastAsia="Arial" w:hAnsi="Gibson" w:cstheme="minorHAnsi"/>
                <w:b/>
                <w:bCs/>
                <w:lang w:val="es-MX"/>
              </w:rPr>
            </w:pPr>
            <w:r>
              <w:rPr>
                <w:rFonts w:ascii="Gibson" w:eastAsia="Arial" w:hAnsi="Gibson" w:cstheme="minorHAnsi"/>
                <w:b/>
                <w:bCs/>
                <w:lang w:val="es-MX"/>
              </w:rPr>
              <w:t>Información Adicional</w:t>
            </w:r>
            <w:r w:rsidR="0053593F">
              <w:rPr>
                <w:rFonts w:ascii="Gibson" w:eastAsia="Arial" w:hAnsi="Gibson" w:cstheme="minorHAnsi"/>
                <w:b/>
                <w:bCs/>
                <w:lang w:val="es-MX"/>
              </w:rPr>
              <w:t>:</w:t>
            </w:r>
          </w:p>
        </w:tc>
        <w:tc>
          <w:tcPr>
            <w:tcW w:w="6237" w:type="dxa"/>
            <w:tcBorders>
              <w:top w:val="single" w:sz="4" w:space="0" w:color="auto"/>
              <w:left w:val="single" w:sz="4" w:space="0" w:color="auto"/>
              <w:bottom w:val="single" w:sz="4" w:space="0" w:color="auto"/>
              <w:right w:val="single" w:sz="4" w:space="0" w:color="auto"/>
            </w:tcBorders>
          </w:tcPr>
          <w:p w14:paraId="564DD57A" w14:textId="4450B45C" w:rsidR="00DF0525" w:rsidRPr="006E2DD9" w:rsidRDefault="00DF0525" w:rsidP="002E788A">
            <w:pPr>
              <w:spacing w:line="240" w:lineRule="auto"/>
              <w:rPr>
                <w:rFonts w:ascii="Gibson" w:hAnsi="Gibson" w:cstheme="minorHAnsi"/>
                <w:sz w:val="18"/>
                <w:szCs w:val="18"/>
              </w:rPr>
            </w:pPr>
            <w:r w:rsidRPr="00DF0525">
              <w:rPr>
                <w:rFonts w:ascii="Gibson" w:hAnsi="Gibson" w:cstheme="minorHAnsi"/>
                <w:sz w:val="18"/>
                <w:szCs w:val="18"/>
              </w:rPr>
              <w:t>Cualquier otra información que la Licitante de que se trate considere necesaria o conveniente para efectos de la Licitación Pública. La información adicional deberá especificarse con ese carácter, mediante una leyenda que textualmente señale “INFORMACIÓN ADICIONAL”</w:t>
            </w:r>
          </w:p>
        </w:tc>
      </w:tr>
    </w:tbl>
    <w:p w14:paraId="402D7A3E" w14:textId="77777777" w:rsidR="004C2A5D" w:rsidRPr="006D1E13" w:rsidRDefault="004C2A5D" w:rsidP="004C2A5D">
      <w:pPr>
        <w:spacing w:line="240" w:lineRule="auto"/>
        <w:rPr>
          <w:rFonts w:ascii="Gibson" w:hAnsi="Gibson" w:cstheme="minorHAnsi"/>
          <w:spacing w:val="0"/>
          <w:sz w:val="22"/>
          <w:szCs w:val="22"/>
          <w:lang w:val="es-MX"/>
        </w:rPr>
      </w:pPr>
    </w:p>
    <w:p w14:paraId="2BB77BD5" w14:textId="77777777" w:rsidR="004C2A5D" w:rsidRPr="006D1E13" w:rsidRDefault="004C2A5D" w:rsidP="004C2A5D">
      <w:pPr>
        <w:spacing w:line="240" w:lineRule="auto"/>
        <w:rPr>
          <w:rFonts w:ascii="Gibson" w:hAnsi="Gibson" w:cstheme="minorHAnsi"/>
          <w:sz w:val="22"/>
          <w:szCs w:val="22"/>
          <w:lang w:val="es-MX"/>
        </w:rPr>
      </w:pPr>
      <w:r w:rsidRPr="006D1E13">
        <w:rPr>
          <w:rFonts w:ascii="Gibson" w:hAnsi="Gibson" w:cstheme="minorHAnsi"/>
          <w:sz w:val="22"/>
          <w:szCs w:val="22"/>
          <w:lang w:val="es-MX"/>
        </w:rPr>
        <w:t>El Licitante, a través de su representante, manifiesta bajo protesta de decir verdad, que:</w:t>
      </w:r>
    </w:p>
    <w:p w14:paraId="39167604" w14:textId="77777777" w:rsidR="004C2A5D" w:rsidRPr="006A5F4F" w:rsidRDefault="004C2A5D" w:rsidP="004C2A5D">
      <w:pPr>
        <w:spacing w:line="240" w:lineRule="auto"/>
        <w:ind w:hanging="426"/>
        <w:rPr>
          <w:rFonts w:ascii="Gibson" w:hAnsi="Gibson" w:cstheme="minorHAnsi"/>
          <w:sz w:val="22"/>
          <w:szCs w:val="22"/>
          <w:lang w:val="es-MX"/>
        </w:rPr>
      </w:pPr>
    </w:p>
    <w:p w14:paraId="66A64124" w14:textId="2E13BF43" w:rsidR="006A5F4F" w:rsidRDefault="004C2A5D" w:rsidP="006A5F4F">
      <w:pPr>
        <w:pStyle w:val="Default"/>
        <w:ind w:left="567" w:hanging="567"/>
        <w:jc w:val="both"/>
        <w:rPr>
          <w:rFonts w:ascii="Gibson" w:hAnsi="Gibson" w:cstheme="minorHAnsi"/>
          <w:i/>
          <w:sz w:val="22"/>
          <w:szCs w:val="22"/>
        </w:rPr>
      </w:pPr>
      <w:r w:rsidRPr="006A5F4F">
        <w:rPr>
          <w:rFonts w:ascii="Gibson" w:hAnsi="Gibson" w:cstheme="minorHAnsi"/>
          <w:sz w:val="22"/>
          <w:szCs w:val="22"/>
        </w:rPr>
        <w:t>(a)</w:t>
      </w:r>
      <w:r w:rsidRPr="006A5F4F">
        <w:rPr>
          <w:rFonts w:ascii="Gibson" w:hAnsi="Gibson" w:cstheme="minorHAnsi"/>
          <w:sz w:val="22"/>
          <w:szCs w:val="22"/>
        </w:rPr>
        <w:tab/>
        <w:t>[</w:t>
      </w:r>
      <w:r w:rsidR="004A64CB" w:rsidRPr="006A5F4F">
        <w:rPr>
          <w:rFonts w:ascii="Gibson" w:hAnsi="Gibson" w:cstheme="minorHAnsi"/>
          <w:i/>
          <w:iCs/>
          <w:sz w:val="22"/>
          <w:szCs w:val="22"/>
        </w:rPr>
        <w:t xml:space="preserve">Nombre, </w:t>
      </w:r>
      <w:r w:rsidR="00DD4454" w:rsidRPr="006A5F4F">
        <w:rPr>
          <w:rFonts w:ascii="Gibson" w:hAnsi="Gibson" w:cstheme="minorHAnsi"/>
          <w:i/>
          <w:iCs/>
          <w:sz w:val="22"/>
          <w:szCs w:val="22"/>
        </w:rPr>
        <w:t>d</w:t>
      </w:r>
      <w:r w:rsidR="00F459CC" w:rsidRPr="006A5F4F">
        <w:rPr>
          <w:rFonts w:ascii="Gibson" w:hAnsi="Gibson" w:cstheme="minorHAnsi"/>
          <w:i/>
          <w:iCs/>
          <w:sz w:val="22"/>
          <w:szCs w:val="22"/>
        </w:rPr>
        <w:t xml:space="preserve">enominación </w:t>
      </w:r>
      <w:r w:rsidR="004A64CB" w:rsidRPr="006A5F4F">
        <w:rPr>
          <w:rFonts w:ascii="Gibson" w:hAnsi="Gibson" w:cstheme="minorHAnsi"/>
          <w:i/>
          <w:iCs/>
          <w:sz w:val="22"/>
          <w:szCs w:val="22"/>
        </w:rPr>
        <w:t xml:space="preserve">o razón social </w:t>
      </w:r>
      <w:r w:rsidR="00F459CC" w:rsidRPr="006A5F4F">
        <w:rPr>
          <w:rFonts w:ascii="Gibson" w:hAnsi="Gibson" w:cstheme="minorHAnsi"/>
          <w:i/>
          <w:iCs/>
          <w:sz w:val="22"/>
          <w:szCs w:val="22"/>
        </w:rPr>
        <w:t>del Licitante</w:t>
      </w:r>
      <w:r w:rsidRPr="006A5F4F">
        <w:rPr>
          <w:rFonts w:ascii="Gibson" w:hAnsi="Gibson" w:cstheme="minorHAnsi"/>
          <w:sz w:val="22"/>
          <w:szCs w:val="22"/>
        </w:rPr>
        <w:t xml:space="preserve">] es una sociedad mexicana, autorizada para operar como institución de crédito y, en términos de sus estatutos sociales, se encuentra dentro de su objeto celebrar operaciones como el Contrato de Crédito. </w:t>
      </w:r>
      <w:r w:rsidRPr="006A5F4F">
        <w:rPr>
          <w:rFonts w:ascii="Gibson" w:hAnsi="Gibson" w:cstheme="minorHAnsi"/>
          <w:i/>
          <w:sz w:val="22"/>
          <w:szCs w:val="22"/>
        </w:rPr>
        <w:t>[en el caso de sociedades nacionales de crédito, adaptar la declaración con los datos de la ley de creación]</w:t>
      </w:r>
      <w:r w:rsidR="006A5F4F">
        <w:rPr>
          <w:rFonts w:ascii="Gibson" w:hAnsi="Gibson" w:cstheme="minorHAnsi"/>
          <w:i/>
          <w:sz w:val="22"/>
          <w:szCs w:val="22"/>
        </w:rPr>
        <w:t>.</w:t>
      </w:r>
    </w:p>
    <w:p w14:paraId="011F37C6" w14:textId="77777777" w:rsidR="006A5F4F" w:rsidRPr="006A5F4F" w:rsidRDefault="006A5F4F" w:rsidP="006A5F4F">
      <w:pPr>
        <w:pStyle w:val="Default"/>
        <w:ind w:left="567" w:hanging="567"/>
        <w:jc w:val="both"/>
        <w:rPr>
          <w:rFonts w:ascii="Gibson" w:hAnsi="Gibson" w:cstheme="minorHAnsi"/>
          <w:iCs/>
          <w:sz w:val="22"/>
          <w:szCs w:val="22"/>
        </w:rPr>
      </w:pPr>
    </w:p>
    <w:p w14:paraId="57040201" w14:textId="60B22D6C" w:rsidR="006A5F4F" w:rsidRPr="006A5F4F" w:rsidRDefault="006A5F4F" w:rsidP="006A5F4F">
      <w:pPr>
        <w:pStyle w:val="Default"/>
        <w:ind w:left="567" w:hanging="567"/>
        <w:jc w:val="both"/>
        <w:rPr>
          <w:rFonts w:ascii="Gibson" w:hAnsi="Gibson" w:cstheme="minorHAnsi"/>
          <w:iCs/>
          <w:sz w:val="22"/>
          <w:szCs w:val="22"/>
        </w:rPr>
      </w:pPr>
      <w:r w:rsidRPr="006A5F4F">
        <w:rPr>
          <w:rFonts w:ascii="Gibson" w:hAnsi="Gibson" w:cstheme="minorHAnsi"/>
          <w:iCs/>
          <w:sz w:val="22"/>
          <w:szCs w:val="22"/>
        </w:rPr>
        <w:t>(b)</w:t>
      </w:r>
      <w:r w:rsidRPr="006A5F4F">
        <w:rPr>
          <w:rFonts w:ascii="Gibson" w:hAnsi="Gibson" w:cstheme="minorHAnsi"/>
          <w:iCs/>
          <w:sz w:val="22"/>
          <w:szCs w:val="22"/>
        </w:rPr>
        <w:tab/>
      </w:r>
      <w:r>
        <w:rPr>
          <w:rFonts w:ascii="Gibson" w:hAnsi="Gibson" w:cstheme="minorHAnsi"/>
          <w:iCs/>
          <w:sz w:val="22"/>
          <w:szCs w:val="22"/>
        </w:rPr>
        <w:t>C</w:t>
      </w:r>
      <w:r w:rsidRPr="006A5F4F">
        <w:rPr>
          <w:rFonts w:ascii="Gibson" w:eastAsia="Calibri" w:hAnsi="Gibson"/>
          <w:iCs/>
          <w:sz w:val="22"/>
          <w:szCs w:val="22"/>
        </w:rPr>
        <w:t>umple con los requisitos señalados en las Bases de la Licitación para tener la calidad de Licitante</w:t>
      </w:r>
      <w:r w:rsidR="00867428">
        <w:rPr>
          <w:rFonts w:ascii="Gibson" w:eastAsia="Calibri" w:hAnsi="Gibson"/>
          <w:iCs/>
          <w:sz w:val="22"/>
          <w:szCs w:val="22"/>
        </w:rPr>
        <w:t xml:space="preserve"> y</w:t>
      </w:r>
      <w:r w:rsidR="00827D74" w:rsidRPr="00827D74">
        <w:rPr>
          <w:rFonts w:ascii="Gibson" w:hAnsi="Gibson" w:cstheme="minorHAnsi"/>
          <w:sz w:val="22"/>
          <w:szCs w:val="22"/>
        </w:rPr>
        <w:t xml:space="preserve"> </w:t>
      </w:r>
      <w:r w:rsidR="00827D74">
        <w:rPr>
          <w:rFonts w:ascii="Gibson" w:hAnsi="Gibson" w:cstheme="minorHAnsi"/>
          <w:sz w:val="22"/>
          <w:szCs w:val="22"/>
        </w:rPr>
        <w:t>n</w:t>
      </w:r>
      <w:r w:rsidR="00827D74" w:rsidRPr="006D1E13">
        <w:rPr>
          <w:rFonts w:ascii="Gibson" w:hAnsi="Gibson" w:cstheme="minorHAnsi"/>
          <w:sz w:val="22"/>
          <w:szCs w:val="22"/>
        </w:rPr>
        <w:t>o se encuentra impedid</w:t>
      </w:r>
      <w:r w:rsidR="008478AC">
        <w:rPr>
          <w:rFonts w:ascii="Gibson" w:hAnsi="Gibson" w:cstheme="minorHAnsi"/>
          <w:sz w:val="22"/>
          <w:szCs w:val="22"/>
        </w:rPr>
        <w:t>o</w:t>
      </w:r>
      <w:r w:rsidR="00827D74" w:rsidRPr="006D1E13">
        <w:rPr>
          <w:rFonts w:ascii="Gibson" w:hAnsi="Gibson" w:cstheme="minorHAnsi"/>
          <w:sz w:val="22"/>
          <w:szCs w:val="22"/>
        </w:rPr>
        <w:t xml:space="preserve"> para contratar con el Estado, de conformidad con las Leyes Aplicables</w:t>
      </w:r>
      <w:r>
        <w:rPr>
          <w:rFonts w:ascii="Gibson" w:eastAsia="Calibri" w:hAnsi="Gibson"/>
          <w:iCs/>
          <w:sz w:val="22"/>
          <w:szCs w:val="22"/>
        </w:rPr>
        <w:t>.</w:t>
      </w:r>
    </w:p>
    <w:p w14:paraId="4FCDD361" w14:textId="77777777" w:rsidR="006A5F4F" w:rsidRPr="006A5F4F" w:rsidRDefault="006A5F4F" w:rsidP="006A5F4F">
      <w:pPr>
        <w:pStyle w:val="Prrafodelista"/>
        <w:spacing w:line="264" w:lineRule="auto"/>
        <w:rPr>
          <w:rFonts w:ascii="Gibson" w:eastAsia="Calibri" w:hAnsi="Gibson"/>
          <w:sz w:val="22"/>
          <w:szCs w:val="22"/>
          <w:lang w:val="es-MX"/>
        </w:rPr>
      </w:pPr>
    </w:p>
    <w:p w14:paraId="2633031C" w14:textId="5545B868" w:rsidR="006A5F4F" w:rsidRPr="006A5F4F" w:rsidRDefault="006A5F4F" w:rsidP="006A5F4F">
      <w:pPr>
        <w:spacing w:line="264" w:lineRule="auto"/>
        <w:ind w:left="567" w:hanging="567"/>
        <w:textAlignment w:val="baseline"/>
        <w:rPr>
          <w:rFonts w:ascii="Gibson" w:eastAsia="Calibri" w:hAnsi="Gibson"/>
          <w:sz w:val="22"/>
          <w:szCs w:val="22"/>
        </w:rPr>
      </w:pPr>
      <w:r>
        <w:rPr>
          <w:rFonts w:ascii="Gibson" w:eastAsia="Calibri" w:hAnsi="Gibson"/>
          <w:sz w:val="22"/>
          <w:szCs w:val="22"/>
          <w:lang w:val="es-MX"/>
        </w:rPr>
        <w:t>(c)</w:t>
      </w:r>
      <w:r>
        <w:rPr>
          <w:rFonts w:ascii="Gibson" w:eastAsia="Calibri" w:hAnsi="Gibson"/>
          <w:sz w:val="22"/>
          <w:szCs w:val="22"/>
          <w:lang w:val="es-MX"/>
        </w:rPr>
        <w:tab/>
      </w:r>
      <w:r w:rsidRPr="006D1E13">
        <w:rPr>
          <w:rFonts w:ascii="Gibson" w:hAnsi="Gibson" w:cstheme="minorHAnsi"/>
          <w:sz w:val="22"/>
          <w:szCs w:val="22"/>
        </w:rPr>
        <w:t xml:space="preserve">Sus órganos internos competentes autorizaron la Oferta de Crédito en los términos contenidos en el presente documento, la cual constituye una </w:t>
      </w:r>
      <w:r>
        <w:rPr>
          <w:rFonts w:ascii="Gibson" w:hAnsi="Gibson" w:cstheme="minorHAnsi"/>
          <w:sz w:val="22"/>
          <w:szCs w:val="22"/>
        </w:rPr>
        <w:t>O</w:t>
      </w:r>
      <w:r w:rsidRPr="006D1E13">
        <w:rPr>
          <w:rFonts w:ascii="Gibson" w:hAnsi="Gibson" w:cstheme="minorHAnsi"/>
          <w:sz w:val="22"/>
          <w:szCs w:val="22"/>
        </w:rPr>
        <w:t xml:space="preserve">ferta </w:t>
      </w:r>
      <w:r>
        <w:rPr>
          <w:rFonts w:ascii="Gibson" w:hAnsi="Gibson" w:cstheme="minorHAnsi"/>
          <w:sz w:val="22"/>
          <w:szCs w:val="22"/>
        </w:rPr>
        <w:t xml:space="preserve">de Crédito </w:t>
      </w:r>
      <w:r w:rsidRPr="006D1E13">
        <w:rPr>
          <w:rFonts w:ascii="Gibson" w:hAnsi="Gibson" w:cstheme="minorHAnsi"/>
          <w:sz w:val="22"/>
          <w:szCs w:val="22"/>
        </w:rPr>
        <w:t xml:space="preserve">en firme e irrevocable, con una vigencia </w:t>
      </w:r>
      <w:r w:rsidR="00873EC8">
        <w:rPr>
          <w:rFonts w:ascii="Gibson" w:hAnsi="Gibson" w:cstheme="minorHAnsi"/>
          <w:sz w:val="22"/>
          <w:szCs w:val="22"/>
        </w:rPr>
        <w:t xml:space="preserve">mínima </w:t>
      </w:r>
      <w:r w:rsidRPr="006D1E13">
        <w:rPr>
          <w:rFonts w:ascii="Gibson" w:hAnsi="Gibson" w:cstheme="minorHAnsi"/>
          <w:sz w:val="22"/>
          <w:szCs w:val="22"/>
        </w:rPr>
        <w:t xml:space="preserve">de 60 (sesenta) </w:t>
      </w:r>
      <w:r w:rsidR="00873EC8">
        <w:rPr>
          <w:rFonts w:ascii="Gibson" w:hAnsi="Gibson" w:cstheme="minorHAnsi"/>
          <w:sz w:val="22"/>
          <w:szCs w:val="22"/>
        </w:rPr>
        <w:t>d</w:t>
      </w:r>
      <w:r w:rsidRPr="006D1E13">
        <w:rPr>
          <w:rFonts w:ascii="Gibson" w:hAnsi="Gibson" w:cstheme="minorHAnsi"/>
          <w:sz w:val="22"/>
          <w:szCs w:val="22"/>
        </w:rPr>
        <w:t>ías</w:t>
      </w:r>
      <w:r w:rsidR="00873EC8">
        <w:rPr>
          <w:rFonts w:ascii="Gibson" w:hAnsi="Gibson" w:cstheme="minorHAnsi"/>
          <w:sz w:val="22"/>
          <w:szCs w:val="22"/>
        </w:rPr>
        <w:t xml:space="preserve"> naturales</w:t>
      </w:r>
      <w:r w:rsidRPr="006D1E13">
        <w:rPr>
          <w:rFonts w:ascii="Gibson" w:hAnsi="Gibson" w:cstheme="minorHAnsi"/>
          <w:sz w:val="22"/>
          <w:szCs w:val="22"/>
        </w:rPr>
        <w:t xml:space="preserve">, contados a partir de su fecha de </w:t>
      </w:r>
      <w:r>
        <w:rPr>
          <w:rFonts w:ascii="Gibson" w:hAnsi="Gibson" w:cstheme="minorHAnsi"/>
          <w:sz w:val="22"/>
          <w:szCs w:val="22"/>
        </w:rPr>
        <w:t xml:space="preserve">entrega </w:t>
      </w:r>
      <w:r w:rsidRPr="006D1E13">
        <w:rPr>
          <w:rFonts w:ascii="Gibson" w:hAnsi="Gibson" w:cstheme="minorHAnsi"/>
          <w:sz w:val="22"/>
          <w:szCs w:val="22"/>
        </w:rPr>
        <w:t>en el Acto de Presentación y Apertura de Ofertas</w:t>
      </w:r>
      <w:r>
        <w:rPr>
          <w:rFonts w:ascii="Gibson" w:eastAsia="Calibri" w:hAnsi="Gibson"/>
          <w:sz w:val="22"/>
          <w:szCs w:val="22"/>
        </w:rPr>
        <w:t>.</w:t>
      </w:r>
    </w:p>
    <w:p w14:paraId="129FEBAE" w14:textId="77777777" w:rsidR="00827D74" w:rsidRDefault="00827D74" w:rsidP="00867428">
      <w:pPr>
        <w:spacing w:line="264" w:lineRule="auto"/>
        <w:textAlignment w:val="baseline"/>
        <w:rPr>
          <w:rFonts w:ascii="Gibson" w:eastAsia="Calibri" w:hAnsi="Gibson"/>
          <w:sz w:val="22"/>
          <w:szCs w:val="22"/>
        </w:rPr>
      </w:pPr>
    </w:p>
    <w:p w14:paraId="5BAFC2BE" w14:textId="5026EC85" w:rsidR="006A5F4F" w:rsidRPr="00827D74" w:rsidRDefault="00827D74" w:rsidP="00827D74">
      <w:pPr>
        <w:spacing w:line="264" w:lineRule="auto"/>
        <w:ind w:left="567" w:hanging="567"/>
        <w:textAlignment w:val="baseline"/>
        <w:rPr>
          <w:rFonts w:ascii="Gibson" w:eastAsia="Calibri" w:hAnsi="Gibson"/>
          <w:sz w:val="22"/>
          <w:szCs w:val="22"/>
        </w:rPr>
      </w:pPr>
      <w:r>
        <w:rPr>
          <w:rFonts w:ascii="Gibson" w:eastAsia="Calibri" w:hAnsi="Gibson"/>
          <w:sz w:val="22"/>
          <w:szCs w:val="22"/>
        </w:rPr>
        <w:t>(</w:t>
      </w:r>
      <w:r w:rsidR="00867428">
        <w:rPr>
          <w:rFonts w:ascii="Gibson" w:eastAsia="Calibri" w:hAnsi="Gibson"/>
          <w:sz w:val="22"/>
          <w:szCs w:val="22"/>
        </w:rPr>
        <w:t>d</w:t>
      </w:r>
      <w:r>
        <w:rPr>
          <w:rFonts w:ascii="Gibson" w:eastAsia="Calibri" w:hAnsi="Gibson"/>
          <w:sz w:val="22"/>
          <w:szCs w:val="22"/>
        </w:rPr>
        <w:t>)</w:t>
      </w:r>
      <w:r>
        <w:rPr>
          <w:rFonts w:ascii="Gibson" w:eastAsia="Calibri" w:hAnsi="Gibson"/>
          <w:sz w:val="22"/>
          <w:szCs w:val="22"/>
        </w:rPr>
        <w:tab/>
      </w:r>
      <w:r w:rsidR="006A5F4F" w:rsidRPr="00827D74">
        <w:rPr>
          <w:rFonts w:ascii="Gibson" w:eastAsia="Calibri" w:hAnsi="Gibson"/>
          <w:sz w:val="22"/>
          <w:szCs w:val="22"/>
        </w:rPr>
        <w:t xml:space="preserve">En el caso de ser declarado Licitante Ganador, cuenta con la capacidad económica para hacer frente a las obligaciones a su cargo bajo el Contrato de Crédito y con la capacidad operativa para dar cumplimiento a los requisitos y procedimientos a su </w:t>
      </w:r>
      <w:r w:rsidR="006A5F4F" w:rsidRPr="00827D74">
        <w:rPr>
          <w:rFonts w:ascii="Gibson" w:eastAsia="Calibri" w:hAnsi="Gibson"/>
          <w:sz w:val="22"/>
          <w:szCs w:val="22"/>
        </w:rPr>
        <w:lastRenderedPageBreak/>
        <w:t>cargo en calidad de fideicomisario en primer lugar del Fideicomiso, según resulte aplicable;</w:t>
      </w:r>
    </w:p>
    <w:p w14:paraId="00CEEB23" w14:textId="77777777" w:rsidR="006A5F4F" w:rsidRPr="006A5F4F" w:rsidRDefault="006A5F4F" w:rsidP="006A5F4F">
      <w:pPr>
        <w:pStyle w:val="Prrafodelista"/>
        <w:spacing w:line="264" w:lineRule="auto"/>
        <w:rPr>
          <w:rFonts w:ascii="Gibson" w:eastAsia="Calibri" w:hAnsi="Gibson"/>
          <w:sz w:val="22"/>
          <w:szCs w:val="22"/>
        </w:rPr>
      </w:pPr>
    </w:p>
    <w:p w14:paraId="54D98156" w14:textId="128243B0" w:rsidR="006A5F4F" w:rsidRPr="00827D74" w:rsidRDefault="00827D74" w:rsidP="00827D74">
      <w:pPr>
        <w:spacing w:line="264" w:lineRule="auto"/>
        <w:ind w:left="567" w:hanging="567"/>
        <w:textAlignment w:val="baseline"/>
        <w:rPr>
          <w:rFonts w:ascii="Gibson" w:eastAsia="Calibri" w:hAnsi="Gibson"/>
          <w:sz w:val="22"/>
          <w:szCs w:val="22"/>
        </w:rPr>
      </w:pPr>
      <w:r>
        <w:rPr>
          <w:rFonts w:ascii="Gibson" w:eastAsia="Calibri" w:hAnsi="Gibson"/>
          <w:sz w:val="22"/>
          <w:szCs w:val="22"/>
        </w:rPr>
        <w:t>(</w:t>
      </w:r>
      <w:r w:rsidR="00867428">
        <w:rPr>
          <w:rFonts w:ascii="Gibson" w:eastAsia="Calibri" w:hAnsi="Gibson"/>
          <w:sz w:val="22"/>
          <w:szCs w:val="22"/>
        </w:rPr>
        <w:t>e</w:t>
      </w:r>
      <w:r>
        <w:rPr>
          <w:rFonts w:ascii="Gibson" w:eastAsia="Calibri" w:hAnsi="Gibson"/>
          <w:sz w:val="22"/>
          <w:szCs w:val="22"/>
        </w:rPr>
        <w:t>)</w:t>
      </w:r>
      <w:r>
        <w:rPr>
          <w:rFonts w:ascii="Gibson" w:eastAsia="Calibri" w:hAnsi="Gibson"/>
          <w:sz w:val="22"/>
          <w:szCs w:val="22"/>
        </w:rPr>
        <w:tab/>
      </w:r>
      <w:r w:rsidR="006A5F4F" w:rsidRPr="00827D74">
        <w:rPr>
          <w:rFonts w:ascii="Gibson" w:eastAsia="Calibri" w:hAnsi="Gibson"/>
          <w:sz w:val="22"/>
          <w:szCs w:val="22"/>
        </w:rPr>
        <w:t>Acepta que la Oferta de Crédito sea entregada a otras Autoridades Gubernamentales y publicada por la Secretaría en la Página Oficial de la Licitación y, en su caso, en cualquier otro medio de difusión público, según el mismo sea determinado por la Secretaría a su discreción o exigible en términos de la Ley Aplicable.</w:t>
      </w:r>
    </w:p>
    <w:p w14:paraId="4D9AD6D2" w14:textId="48302422" w:rsidR="006A5F4F" w:rsidRPr="006A5F4F" w:rsidRDefault="006A5F4F" w:rsidP="004C2A5D">
      <w:pPr>
        <w:pStyle w:val="Default"/>
        <w:ind w:left="567" w:hanging="567"/>
        <w:jc w:val="both"/>
        <w:rPr>
          <w:rFonts w:ascii="Gibson" w:hAnsi="Gibson" w:cstheme="minorHAnsi"/>
          <w:sz w:val="22"/>
          <w:szCs w:val="22"/>
          <w:lang w:val="es-ES"/>
        </w:rPr>
      </w:pPr>
    </w:p>
    <w:p w14:paraId="3424F29B" w14:textId="79145F8F" w:rsidR="004C2A5D" w:rsidRPr="006D1E13" w:rsidRDefault="00827D74" w:rsidP="00827D74">
      <w:pPr>
        <w:pStyle w:val="Default"/>
        <w:ind w:left="567" w:hanging="567"/>
        <w:jc w:val="both"/>
        <w:rPr>
          <w:rFonts w:ascii="Gibson" w:hAnsi="Gibson" w:cstheme="minorHAnsi"/>
          <w:sz w:val="22"/>
          <w:szCs w:val="22"/>
        </w:rPr>
      </w:pPr>
      <w:r>
        <w:rPr>
          <w:rFonts w:ascii="Gibson" w:hAnsi="Gibson" w:cstheme="minorHAnsi"/>
          <w:sz w:val="22"/>
          <w:szCs w:val="22"/>
          <w:lang w:val="es-ES"/>
        </w:rPr>
        <w:t>(</w:t>
      </w:r>
      <w:r w:rsidR="00867428">
        <w:rPr>
          <w:rFonts w:ascii="Gibson" w:hAnsi="Gibson" w:cstheme="minorHAnsi"/>
          <w:sz w:val="22"/>
          <w:szCs w:val="22"/>
          <w:lang w:val="es-ES"/>
        </w:rPr>
        <w:t>f</w:t>
      </w:r>
      <w:r>
        <w:rPr>
          <w:rFonts w:ascii="Gibson" w:hAnsi="Gibson" w:cstheme="minorHAnsi"/>
          <w:sz w:val="22"/>
          <w:szCs w:val="22"/>
          <w:lang w:val="es-ES"/>
        </w:rPr>
        <w:t>)</w:t>
      </w:r>
      <w:r>
        <w:rPr>
          <w:rFonts w:ascii="Gibson" w:hAnsi="Gibson" w:cstheme="minorHAnsi"/>
          <w:sz w:val="22"/>
          <w:szCs w:val="22"/>
          <w:lang w:val="es-ES"/>
        </w:rPr>
        <w:tab/>
      </w:r>
      <w:r w:rsidR="004C2A5D" w:rsidRPr="006D1E13">
        <w:rPr>
          <w:rFonts w:ascii="Gibson" w:hAnsi="Gibson" w:cstheme="minorHAnsi"/>
          <w:sz w:val="22"/>
          <w:szCs w:val="22"/>
        </w:rPr>
        <w:t xml:space="preserve">No ha comentado con otras </w:t>
      </w:r>
      <w:r w:rsidR="009B75B3">
        <w:rPr>
          <w:rFonts w:ascii="Gibson" w:hAnsi="Gibson" w:cstheme="minorHAnsi"/>
          <w:sz w:val="22"/>
          <w:szCs w:val="22"/>
        </w:rPr>
        <w:t>i</w:t>
      </w:r>
      <w:r w:rsidR="004C2A5D" w:rsidRPr="006D1E13">
        <w:rPr>
          <w:rFonts w:ascii="Gibson" w:hAnsi="Gibson" w:cstheme="minorHAnsi"/>
          <w:sz w:val="22"/>
          <w:szCs w:val="22"/>
        </w:rPr>
        <w:t>nstituciones financieras el alcance y términos de esta Oferta</w:t>
      </w:r>
      <w:r w:rsidR="00A2169A" w:rsidRPr="006D1E13">
        <w:rPr>
          <w:rFonts w:ascii="Gibson" w:hAnsi="Gibson" w:cstheme="minorHAnsi"/>
          <w:sz w:val="22"/>
          <w:szCs w:val="22"/>
        </w:rPr>
        <w:t xml:space="preserve"> de Crédito</w:t>
      </w:r>
      <w:r w:rsidR="004C2A5D" w:rsidRPr="006D1E13">
        <w:rPr>
          <w:rFonts w:ascii="Gibson" w:hAnsi="Gibson" w:cstheme="minorHAnsi"/>
          <w:sz w:val="22"/>
          <w:szCs w:val="22"/>
        </w:rPr>
        <w:t>, ni en forma alguna se ha puesto de acuerdo con otras instituciones financieras competidoras respecto de su participación en la presente Licitación</w:t>
      </w:r>
      <w:r w:rsidR="009B75B3">
        <w:rPr>
          <w:rFonts w:ascii="Gibson" w:hAnsi="Gibson" w:cstheme="minorHAnsi"/>
          <w:sz w:val="22"/>
          <w:szCs w:val="22"/>
        </w:rPr>
        <w:t xml:space="preserve"> Pública</w:t>
      </w:r>
      <w:r w:rsidR="004C2A5D" w:rsidRPr="006D1E13">
        <w:rPr>
          <w:rFonts w:ascii="Gibson" w:hAnsi="Gibson" w:cstheme="minorHAnsi"/>
          <w:sz w:val="22"/>
          <w:szCs w:val="22"/>
        </w:rPr>
        <w:t>.</w:t>
      </w:r>
    </w:p>
    <w:p w14:paraId="087BE56D" w14:textId="77777777" w:rsidR="004C2A5D" w:rsidRPr="006D1E13" w:rsidRDefault="004C2A5D" w:rsidP="004C2A5D">
      <w:pPr>
        <w:pStyle w:val="Default"/>
        <w:ind w:left="567" w:hanging="567"/>
        <w:jc w:val="both"/>
        <w:rPr>
          <w:rFonts w:ascii="Gibson" w:hAnsi="Gibson" w:cstheme="minorHAnsi"/>
          <w:sz w:val="22"/>
          <w:szCs w:val="22"/>
        </w:rPr>
      </w:pPr>
    </w:p>
    <w:p w14:paraId="59F9D791" w14:textId="0B47422B" w:rsidR="00297714" w:rsidRDefault="004C2A5D" w:rsidP="004C2A5D">
      <w:pPr>
        <w:pStyle w:val="Default"/>
        <w:ind w:left="567" w:hanging="567"/>
        <w:jc w:val="both"/>
        <w:rPr>
          <w:rFonts w:ascii="Gibson" w:hAnsi="Gibson" w:cstheme="minorHAnsi"/>
          <w:sz w:val="22"/>
          <w:szCs w:val="22"/>
        </w:rPr>
      </w:pPr>
      <w:r w:rsidRPr="006D1E13">
        <w:rPr>
          <w:rFonts w:ascii="Gibson" w:hAnsi="Gibson" w:cstheme="minorHAnsi"/>
          <w:sz w:val="22"/>
          <w:szCs w:val="22"/>
        </w:rPr>
        <w:t>(</w:t>
      </w:r>
      <w:r w:rsidR="00867428">
        <w:rPr>
          <w:rFonts w:ascii="Gibson" w:hAnsi="Gibson" w:cstheme="minorHAnsi"/>
          <w:sz w:val="22"/>
          <w:szCs w:val="22"/>
        </w:rPr>
        <w:t>g</w:t>
      </w:r>
      <w:r w:rsidRPr="006D1E13">
        <w:rPr>
          <w:rFonts w:ascii="Gibson" w:hAnsi="Gibson" w:cstheme="minorHAnsi"/>
          <w:sz w:val="22"/>
          <w:szCs w:val="22"/>
        </w:rPr>
        <w:t>)</w:t>
      </w:r>
      <w:r w:rsidRPr="006D1E13">
        <w:rPr>
          <w:rFonts w:ascii="Gibson" w:hAnsi="Gibson" w:cstheme="minorHAnsi"/>
          <w:sz w:val="22"/>
          <w:szCs w:val="22"/>
        </w:rPr>
        <w:tab/>
        <w:t>Su</w:t>
      </w:r>
      <w:r w:rsidR="003D2F9D">
        <w:rPr>
          <w:rFonts w:ascii="Gibson" w:hAnsi="Gibson" w:cstheme="minorHAnsi"/>
          <w:sz w:val="22"/>
          <w:szCs w:val="22"/>
        </w:rPr>
        <w:t>(s)</w:t>
      </w:r>
      <w:r w:rsidRPr="006D1E13">
        <w:rPr>
          <w:rFonts w:ascii="Gibson" w:hAnsi="Gibson" w:cstheme="minorHAnsi"/>
          <w:sz w:val="22"/>
          <w:szCs w:val="22"/>
        </w:rPr>
        <w:t xml:space="preserve"> representante</w:t>
      </w:r>
      <w:r w:rsidR="003D2F9D">
        <w:rPr>
          <w:rFonts w:ascii="Gibson" w:hAnsi="Gibson" w:cstheme="minorHAnsi"/>
          <w:sz w:val="22"/>
          <w:szCs w:val="22"/>
        </w:rPr>
        <w:t>(s)</w:t>
      </w:r>
      <w:r w:rsidRPr="006D1E13">
        <w:rPr>
          <w:rFonts w:ascii="Gibson" w:hAnsi="Gibson" w:cstheme="minorHAnsi"/>
          <w:sz w:val="22"/>
          <w:szCs w:val="22"/>
        </w:rPr>
        <w:t xml:space="preserve"> tiene</w:t>
      </w:r>
      <w:r w:rsidR="00297714">
        <w:rPr>
          <w:rFonts w:ascii="Gibson" w:hAnsi="Gibson" w:cstheme="minorHAnsi"/>
          <w:sz w:val="22"/>
          <w:szCs w:val="22"/>
        </w:rPr>
        <w:t>(n)</w:t>
      </w:r>
      <w:r w:rsidRPr="006D1E13">
        <w:rPr>
          <w:rFonts w:ascii="Gibson" w:hAnsi="Gibson" w:cstheme="minorHAnsi"/>
          <w:sz w:val="22"/>
          <w:szCs w:val="22"/>
        </w:rPr>
        <w:t xml:space="preserve"> facultades suficientes para representarla y presentar la presente Oferta de Crédito</w:t>
      </w:r>
      <w:r w:rsidR="00297714">
        <w:rPr>
          <w:rFonts w:ascii="Gibson" w:hAnsi="Gibson" w:cstheme="minorHAnsi"/>
          <w:sz w:val="22"/>
          <w:szCs w:val="22"/>
        </w:rPr>
        <w:t xml:space="preserve"> y, en su caso, celebrar el Contrato</w:t>
      </w:r>
      <w:r w:rsidRPr="006D1E13">
        <w:rPr>
          <w:rFonts w:ascii="Gibson" w:hAnsi="Gibson" w:cstheme="minorHAnsi"/>
          <w:sz w:val="22"/>
          <w:szCs w:val="22"/>
        </w:rPr>
        <w:t>, las cuales no le han sido revocadas, modificadas o limitadas en forma alguna</w:t>
      </w:r>
    </w:p>
    <w:p w14:paraId="1A95D7B4" w14:textId="77777777" w:rsidR="00297714" w:rsidRDefault="00297714" w:rsidP="004C2A5D">
      <w:pPr>
        <w:pStyle w:val="Default"/>
        <w:ind w:left="567" w:hanging="567"/>
        <w:jc w:val="both"/>
        <w:rPr>
          <w:rFonts w:ascii="Gibson" w:hAnsi="Gibson" w:cstheme="minorHAnsi"/>
          <w:sz w:val="22"/>
          <w:szCs w:val="22"/>
        </w:rPr>
      </w:pPr>
    </w:p>
    <w:p w14:paraId="141D3428" w14:textId="07FE4C75" w:rsidR="004C2A5D" w:rsidRPr="006D1E13" w:rsidRDefault="00297714" w:rsidP="004C2A5D">
      <w:pPr>
        <w:pStyle w:val="Default"/>
        <w:ind w:left="567" w:hanging="567"/>
        <w:jc w:val="both"/>
        <w:rPr>
          <w:rFonts w:ascii="Gibson" w:hAnsi="Gibson" w:cstheme="minorHAnsi"/>
          <w:sz w:val="22"/>
          <w:szCs w:val="22"/>
        </w:rPr>
      </w:pPr>
      <w:r>
        <w:rPr>
          <w:rFonts w:ascii="Gibson" w:hAnsi="Gibson" w:cstheme="minorHAnsi"/>
          <w:sz w:val="22"/>
          <w:szCs w:val="22"/>
        </w:rPr>
        <w:t>(</w:t>
      </w:r>
      <w:r w:rsidR="00867428">
        <w:rPr>
          <w:rFonts w:ascii="Gibson" w:hAnsi="Gibson" w:cstheme="minorHAnsi"/>
          <w:sz w:val="22"/>
          <w:szCs w:val="22"/>
        </w:rPr>
        <w:t>h)</w:t>
      </w:r>
      <w:r>
        <w:rPr>
          <w:rFonts w:ascii="Gibson" w:hAnsi="Gibson" w:cstheme="minorHAnsi"/>
          <w:sz w:val="22"/>
          <w:szCs w:val="22"/>
        </w:rPr>
        <w:tab/>
        <w:t>La documentación entregada en copia</w:t>
      </w:r>
      <w:r w:rsidR="00827D74">
        <w:rPr>
          <w:rFonts w:ascii="Gibson" w:hAnsi="Gibson" w:cstheme="minorHAnsi"/>
          <w:sz w:val="22"/>
          <w:szCs w:val="22"/>
        </w:rPr>
        <w:t xml:space="preserve"> corresponde fie</w:t>
      </w:r>
      <w:r>
        <w:rPr>
          <w:rFonts w:ascii="Gibson" w:hAnsi="Gibson" w:cstheme="minorHAnsi"/>
          <w:sz w:val="22"/>
          <w:szCs w:val="22"/>
        </w:rPr>
        <w:t>lmente a sus originales.</w:t>
      </w:r>
    </w:p>
    <w:p w14:paraId="4D3A75F4" w14:textId="25E3D086" w:rsidR="004C2A5D" w:rsidRDefault="004C2A5D" w:rsidP="003D2F9D">
      <w:pPr>
        <w:pStyle w:val="Default"/>
        <w:jc w:val="both"/>
        <w:rPr>
          <w:rFonts w:ascii="Gibson" w:hAnsi="Gibson" w:cstheme="minorHAnsi"/>
          <w:sz w:val="22"/>
          <w:szCs w:val="22"/>
        </w:rPr>
      </w:pPr>
    </w:p>
    <w:p w14:paraId="2FC375E7" w14:textId="0EB32D61" w:rsidR="003D2F9D" w:rsidRDefault="003D2F9D" w:rsidP="003D2F9D">
      <w:pPr>
        <w:pStyle w:val="Default"/>
        <w:jc w:val="both"/>
        <w:rPr>
          <w:rFonts w:ascii="Gibson" w:hAnsi="Gibson" w:cstheme="minorHAnsi"/>
          <w:sz w:val="22"/>
          <w:szCs w:val="22"/>
        </w:rPr>
      </w:pPr>
      <w:r>
        <w:rPr>
          <w:rFonts w:ascii="Gibson" w:hAnsi="Gibson" w:cstheme="minorHAnsi"/>
          <w:sz w:val="22"/>
          <w:szCs w:val="22"/>
        </w:rPr>
        <w:t xml:space="preserve">Se anexa la Tabla de Amortizaciones </w:t>
      </w:r>
      <w:r w:rsidR="005F6E57">
        <w:rPr>
          <w:rFonts w:ascii="Gibson" w:hAnsi="Gibson" w:cstheme="minorHAnsi"/>
          <w:sz w:val="22"/>
          <w:szCs w:val="22"/>
        </w:rPr>
        <w:t xml:space="preserve">Indicativa </w:t>
      </w:r>
      <w:r w:rsidR="00077433">
        <w:rPr>
          <w:rFonts w:ascii="Gibson" w:hAnsi="Gibson" w:cstheme="minorHAnsi"/>
          <w:sz w:val="22"/>
          <w:szCs w:val="22"/>
        </w:rPr>
        <w:t xml:space="preserve">con las amortizaciones, </w:t>
      </w:r>
      <w:r>
        <w:rPr>
          <w:rFonts w:ascii="Gibson" w:hAnsi="Gibson" w:cstheme="minorHAnsi"/>
          <w:sz w:val="22"/>
          <w:szCs w:val="22"/>
        </w:rPr>
        <w:t>en atención al monto ofertado</w:t>
      </w:r>
      <w:r w:rsidR="00297714">
        <w:rPr>
          <w:rFonts w:ascii="Gibson" w:hAnsi="Gibson" w:cstheme="minorHAnsi"/>
          <w:sz w:val="22"/>
          <w:szCs w:val="22"/>
        </w:rPr>
        <w:t>,</w:t>
      </w:r>
      <w:r w:rsidRPr="003D2F9D">
        <w:rPr>
          <w:rFonts w:ascii="Gibson" w:hAnsi="Gibson" w:cstheme="minorHAnsi"/>
          <w:color w:val="auto"/>
          <w:sz w:val="22"/>
          <w:szCs w:val="22"/>
        </w:rPr>
        <w:t xml:space="preserve"> </w:t>
      </w:r>
      <w:r w:rsidRPr="006D1E13">
        <w:rPr>
          <w:rFonts w:ascii="Gibson" w:hAnsi="Gibson" w:cstheme="minorHAnsi"/>
          <w:color w:val="auto"/>
          <w:sz w:val="22"/>
          <w:szCs w:val="22"/>
        </w:rPr>
        <w:t>la cual se encuentra debidamente rubricada</w:t>
      </w:r>
      <w:r>
        <w:rPr>
          <w:rFonts w:ascii="Gibson" w:hAnsi="Gibson" w:cstheme="minorHAnsi"/>
          <w:sz w:val="22"/>
          <w:szCs w:val="22"/>
        </w:rPr>
        <w:t>.</w:t>
      </w:r>
    </w:p>
    <w:p w14:paraId="1F5482E0" w14:textId="77777777" w:rsidR="003D2F9D" w:rsidRPr="006D1E13" w:rsidRDefault="003D2F9D" w:rsidP="003D2F9D">
      <w:pPr>
        <w:pStyle w:val="Default"/>
        <w:jc w:val="both"/>
        <w:rPr>
          <w:rFonts w:ascii="Gibson" w:hAnsi="Gibson" w:cstheme="minorHAnsi"/>
          <w:sz w:val="22"/>
          <w:szCs w:val="22"/>
        </w:rPr>
      </w:pPr>
    </w:p>
    <w:p w14:paraId="3CC67F36" w14:textId="77777777" w:rsidR="004C2A5D" w:rsidRPr="006D1E13" w:rsidRDefault="004C2A5D" w:rsidP="004C2A5D">
      <w:pPr>
        <w:spacing w:line="240" w:lineRule="auto"/>
        <w:rPr>
          <w:rFonts w:ascii="Gibson" w:hAnsi="Gibson" w:cstheme="minorHAnsi"/>
          <w:sz w:val="22"/>
          <w:szCs w:val="22"/>
          <w:lang w:val="es-MX"/>
        </w:rPr>
      </w:pPr>
      <w:r w:rsidRPr="006D1E13">
        <w:rPr>
          <w:rFonts w:ascii="Gibson" w:hAnsi="Gibson" w:cstheme="minorHAnsi"/>
          <w:sz w:val="22"/>
          <w:szCs w:val="22"/>
          <w:lang w:val="es-MX"/>
        </w:rPr>
        <w:t>El Licitante señala los siguientes datos de contacto, para efectos de cualquier notificación en relación con el proceso de la Licitación Pública:</w:t>
      </w:r>
    </w:p>
    <w:p w14:paraId="260B016D" w14:textId="77777777" w:rsidR="004C2A5D" w:rsidRPr="006D1E13" w:rsidRDefault="004C2A5D" w:rsidP="004C2A5D">
      <w:pPr>
        <w:spacing w:line="240" w:lineRule="auto"/>
        <w:rPr>
          <w:rFonts w:ascii="Gibson" w:hAnsi="Gibson" w:cstheme="minorHAnsi"/>
          <w:sz w:val="22"/>
          <w:szCs w:val="22"/>
          <w:lang w:val="es-MX"/>
        </w:rPr>
      </w:pPr>
    </w:p>
    <w:p w14:paraId="0F427F07" w14:textId="1924C45E" w:rsidR="004C2A5D" w:rsidRPr="006D1E13" w:rsidRDefault="004C2A5D" w:rsidP="004C2A5D">
      <w:pPr>
        <w:spacing w:line="240" w:lineRule="auto"/>
        <w:ind w:firstLine="284"/>
        <w:rPr>
          <w:rFonts w:ascii="Gibson" w:hAnsi="Gibson" w:cstheme="minorHAnsi"/>
          <w:sz w:val="22"/>
          <w:szCs w:val="22"/>
          <w:lang w:val="es-MX"/>
        </w:rPr>
      </w:pPr>
      <w:r w:rsidRPr="006D1E13">
        <w:rPr>
          <w:rFonts w:ascii="Gibson" w:hAnsi="Gibson" w:cstheme="minorHAnsi"/>
          <w:sz w:val="22"/>
          <w:szCs w:val="22"/>
          <w:lang w:val="es-MX"/>
        </w:rPr>
        <w:t xml:space="preserve">Atención a: </w:t>
      </w:r>
      <w:r w:rsidRPr="006D1E13">
        <w:rPr>
          <w:rFonts w:ascii="Gibson" w:hAnsi="Gibson" w:cstheme="minorHAnsi"/>
          <w:sz w:val="22"/>
          <w:szCs w:val="22"/>
          <w:lang w:val="es-MX"/>
        </w:rPr>
        <w:tab/>
      </w:r>
      <w:r w:rsidRPr="006D1E13">
        <w:rPr>
          <w:rFonts w:ascii="Gibson" w:hAnsi="Gibson" w:cstheme="minorHAnsi"/>
          <w:sz w:val="22"/>
          <w:szCs w:val="22"/>
          <w:lang w:val="es-MX"/>
        </w:rPr>
        <w:tab/>
      </w:r>
      <w:r w:rsidR="00542778" w:rsidRPr="006D1E13">
        <w:rPr>
          <w:rFonts w:ascii="Gibson" w:hAnsi="Gibson" w:cstheme="minorHAnsi"/>
          <w:sz w:val="22"/>
          <w:szCs w:val="22"/>
          <w:lang w:val="es-MX"/>
        </w:rPr>
        <w:t>[</w:t>
      </w:r>
      <w:r w:rsidR="00542778" w:rsidRPr="00542778">
        <w:rPr>
          <w:rFonts w:ascii="Gibson" w:eastAsia="Arial" w:hAnsi="Gibson" w:cstheme="minorHAnsi"/>
          <w:color w:val="000000"/>
          <w:spacing w:val="-1"/>
          <w:sz w:val="22"/>
          <w:szCs w:val="22"/>
          <w:lang w:val="es-MX"/>
        </w:rPr>
        <w:t>•</w:t>
      </w:r>
      <w:r w:rsidR="00542778" w:rsidRPr="006D1E13">
        <w:rPr>
          <w:rFonts w:ascii="Gibson" w:hAnsi="Gibson" w:cstheme="minorHAnsi"/>
          <w:sz w:val="22"/>
          <w:szCs w:val="22"/>
          <w:lang w:val="es-MX"/>
        </w:rPr>
        <w:t>]</w:t>
      </w:r>
      <w:r w:rsidRPr="006D1E13">
        <w:rPr>
          <w:rFonts w:ascii="Gibson" w:hAnsi="Gibson" w:cstheme="minorHAnsi"/>
          <w:sz w:val="22"/>
          <w:szCs w:val="22"/>
          <w:lang w:val="es-MX"/>
        </w:rPr>
        <w:t>.</w:t>
      </w:r>
    </w:p>
    <w:p w14:paraId="050FED83" w14:textId="0CC06F5E" w:rsidR="004C2A5D" w:rsidRPr="006D1E13" w:rsidRDefault="004C2A5D" w:rsidP="004C2A5D">
      <w:pPr>
        <w:spacing w:line="240" w:lineRule="auto"/>
        <w:ind w:firstLine="284"/>
        <w:rPr>
          <w:rFonts w:ascii="Gibson" w:hAnsi="Gibson" w:cstheme="minorHAnsi"/>
          <w:sz w:val="22"/>
          <w:szCs w:val="22"/>
          <w:lang w:val="es-MX"/>
        </w:rPr>
      </w:pPr>
      <w:r w:rsidRPr="006D1E13">
        <w:rPr>
          <w:rFonts w:ascii="Gibson" w:hAnsi="Gibson" w:cstheme="minorHAnsi"/>
          <w:sz w:val="22"/>
          <w:szCs w:val="22"/>
          <w:lang w:val="es-MX"/>
        </w:rPr>
        <w:t>Correo electrónico:</w:t>
      </w:r>
      <w:r w:rsidRPr="006D1E13">
        <w:rPr>
          <w:rFonts w:ascii="Gibson" w:hAnsi="Gibson" w:cstheme="minorHAnsi"/>
          <w:sz w:val="22"/>
          <w:szCs w:val="22"/>
          <w:lang w:val="es-MX"/>
        </w:rPr>
        <w:tab/>
      </w:r>
      <w:r w:rsidR="00542778" w:rsidRPr="006D1E13">
        <w:rPr>
          <w:rFonts w:ascii="Gibson" w:hAnsi="Gibson" w:cstheme="minorHAnsi"/>
          <w:sz w:val="22"/>
          <w:szCs w:val="22"/>
          <w:lang w:val="es-MX"/>
        </w:rPr>
        <w:t>[</w:t>
      </w:r>
      <w:r w:rsidR="00542778" w:rsidRPr="00542778">
        <w:rPr>
          <w:rFonts w:ascii="Gibson" w:eastAsia="Arial" w:hAnsi="Gibson" w:cstheme="minorHAnsi"/>
          <w:color w:val="000000"/>
          <w:spacing w:val="-1"/>
          <w:sz w:val="22"/>
          <w:szCs w:val="22"/>
          <w:lang w:val="es-MX"/>
        </w:rPr>
        <w:t>•</w:t>
      </w:r>
      <w:r w:rsidR="00542778" w:rsidRPr="006D1E13">
        <w:rPr>
          <w:rFonts w:ascii="Gibson" w:hAnsi="Gibson" w:cstheme="minorHAnsi"/>
          <w:sz w:val="22"/>
          <w:szCs w:val="22"/>
          <w:lang w:val="es-MX"/>
        </w:rPr>
        <w:t>]</w:t>
      </w:r>
      <w:r w:rsidRPr="006D1E13">
        <w:rPr>
          <w:rFonts w:ascii="Gibson" w:hAnsi="Gibson" w:cstheme="minorHAnsi"/>
          <w:sz w:val="22"/>
          <w:szCs w:val="22"/>
          <w:lang w:val="es-MX"/>
        </w:rPr>
        <w:t>.</w:t>
      </w:r>
    </w:p>
    <w:p w14:paraId="4F177662" w14:textId="1B4B9E59" w:rsidR="004C2A5D" w:rsidRPr="006D1E13" w:rsidRDefault="004C2A5D" w:rsidP="004C2A5D">
      <w:pPr>
        <w:spacing w:line="240" w:lineRule="auto"/>
        <w:ind w:firstLine="284"/>
        <w:rPr>
          <w:rFonts w:ascii="Gibson" w:hAnsi="Gibson" w:cstheme="minorHAnsi"/>
          <w:sz w:val="22"/>
          <w:szCs w:val="22"/>
          <w:lang w:val="es-MX"/>
        </w:rPr>
      </w:pPr>
      <w:r w:rsidRPr="006D1E13">
        <w:rPr>
          <w:rFonts w:ascii="Gibson" w:hAnsi="Gibson" w:cstheme="minorHAnsi"/>
          <w:sz w:val="22"/>
          <w:szCs w:val="22"/>
          <w:lang w:val="es-MX"/>
        </w:rPr>
        <w:t>Domicilio:</w:t>
      </w:r>
      <w:r w:rsidRPr="006D1E13">
        <w:rPr>
          <w:rFonts w:ascii="Gibson" w:hAnsi="Gibson" w:cstheme="minorHAnsi"/>
          <w:sz w:val="22"/>
          <w:szCs w:val="22"/>
          <w:lang w:val="es-MX"/>
        </w:rPr>
        <w:tab/>
      </w:r>
      <w:r w:rsidRPr="006D1E13">
        <w:rPr>
          <w:rFonts w:ascii="Gibson" w:hAnsi="Gibson" w:cstheme="minorHAnsi"/>
          <w:sz w:val="22"/>
          <w:szCs w:val="22"/>
          <w:lang w:val="es-MX"/>
        </w:rPr>
        <w:tab/>
      </w:r>
      <w:r w:rsidR="009B75B3">
        <w:rPr>
          <w:rFonts w:ascii="Gibson" w:hAnsi="Gibson" w:cstheme="minorHAnsi"/>
          <w:sz w:val="22"/>
          <w:szCs w:val="22"/>
          <w:lang w:val="es-MX"/>
        </w:rPr>
        <w:tab/>
      </w:r>
      <w:r w:rsidR="00542778" w:rsidRPr="006D1E13">
        <w:rPr>
          <w:rFonts w:ascii="Gibson" w:hAnsi="Gibson" w:cstheme="minorHAnsi"/>
          <w:sz w:val="22"/>
          <w:szCs w:val="22"/>
          <w:lang w:val="es-MX"/>
        </w:rPr>
        <w:t>[</w:t>
      </w:r>
      <w:r w:rsidR="00542778" w:rsidRPr="00542778">
        <w:rPr>
          <w:rFonts w:ascii="Gibson" w:eastAsia="Arial" w:hAnsi="Gibson" w:cstheme="minorHAnsi"/>
          <w:color w:val="000000"/>
          <w:spacing w:val="-1"/>
          <w:sz w:val="22"/>
          <w:szCs w:val="22"/>
          <w:lang w:val="es-MX"/>
        </w:rPr>
        <w:t>•</w:t>
      </w:r>
      <w:r w:rsidR="00542778" w:rsidRPr="006D1E13">
        <w:rPr>
          <w:rFonts w:ascii="Gibson" w:hAnsi="Gibson" w:cstheme="minorHAnsi"/>
          <w:sz w:val="22"/>
          <w:szCs w:val="22"/>
          <w:lang w:val="es-MX"/>
        </w:rPr>
        <w:t>]</w:t>
      </w:r>
      <w:r w:rsidRPr="006D1E13">
        <w:rPr>
          <w:rFonts w:ascii="Gibson" w:hAnsi="Gibson" w:cstheme="minorHAnsi"/>
          <w:sz w:val="22"/>
          <w:szCs w:val="22"/>
          <w:lang w:val="es-MX"/>
        </w:rPr>
        <w:t>.</w:t>
      </w:r>
    </w:p>
    <w:p w14:paraId="5225657E" w14:textId="3F068CE1" w:rsidR="004C2A5D" w:rsidRPr="006D1E13" w:rsidRDefault="004C2A5D" w:rsidP="004C2A5D">
      <w:pPr>
        <w:spacing w:line="240" w:lineRule="auto"/>
        <w:ind w:firstLine="284"/>
        <w:rPr>
          <w:rFonts w:ascii="Gibson" w:hAnsi="Gibson" w:cstheme="minorHAnsi"/>
          <w:sz w:val="22"/>
          <w:szCs w:val="22"/>
          <w:lang w:val="es-MX"/>
        </w:rPr>
      </w:pPr>
      <w:r w:rsidRPr="006D1E13">
        <w:rPr>
          <w:rFonts w:ascii="Gibson" w:hAnsi="Gibson" w:cstheme="minorHAnsi"/>
          <w:sz w:val="22"/>
          <w:szCs w:val="22"/>
          <w:lang w:val="es-MX"/>
        </w:rPr>
        <w:t xml:space="preserve">Teléfono: </w:t>
      </w:r>
      <w:r w:rsidRPr="006D1E13">
        <w:rPr>
          <w:rFonts w:ascii="Gibson" w:hAnsi="Gibson" w:cstheme="minorHAnsi"/>
          <w:sz w:val="22"/>
          <w:szCs w:val="22"/>
          <w:lang w:val="es-MX"/>
        </w:rPr>
        <w:tab/>
      </w:r>
      <w:r w:rsidRPr="006D1E13">
        <w:rPr>
          <w:rFonts w:ascii="Gibson" w:hAnsi="Gibson" w:cstheme="minorHAnsi"/>
          <w:sz w:val="22"/>
          <w:szCs w:val="22"/>
          <w:lang w:val="es-MX"/>
        </w:rPr>
        <w:tab/>
      </w:r>
      <w:r w:rsidR="009B75B3">
        <w:rPr>
          <w:rFonts w:ascii="Gibson" w:hAnsi="Gibson" w:cstheme="minorHAnsi"/>
          <w:sz w:val="22"/>
          <w:szCs w:val="22"/>
          <w:lang w:val="es-MX"/>
        </w:rPr>
        <w:tab/>
      </w:r>
      <w:r w:rsidR="00542778" w:rsidRPr="006D1E13">
        <w:rPr>
          <w:rFonts w:ascii="Gibson" w:hAnsi="Gibson" w:cstheme="minorHAnsi"/>
          <w:sz w:val="22"/>
          <w:szCs w:val="22"/>
          <w:lang w:val="es-MX"/>
        </w:rPr>
        <w:t>[</w:t>
      </w:r>
      <w:r w:rsidR="00542778" w:rsidRPr="00542778">
        <w:rPr>
          <w:rFonts w:ascii="Gibson" w:eastAsia="Arial" w:hAnsi="Gibson" w:cstheme="minorHAnsi"/>
          <w:color w:val="000000"/>
          <w:spacing w:val="-1"/>
          <w:sz w:val="22"/>
          <w:szCs w:val="22"/>
          <w:lang w:val="es-MX"/>
        </w:rPr>
        <w:t>•</w:t>
      </w:r>
      <w:r w:rsidR="00542778" w:rsidRPr="006D1E13">
        <w:rPr>
          <w:rFonts w:ascii="Gibson" w:hAnsi="Gibson" w:cstheme="minorHAnsi"/>
          <w:sz w:val="22"/>
          <w:szCs w:val="22"/>
          <w:lang w:val="es-MX"/>
        </w:rPr>
        <w:t>]</w:t>
      </w:r>
      <w:r w:rsidRPr="006D1E13">
        <w:rPr>
          <w:rFonts w:ascii="Gibson" w:hAnsi="Gibson" w:cstheme="minorHAnsi"/>
          <w:sz w:val="22"/>
          <w:szCs w:val="22"/>
          <w:lang w:val="es-MX"/>
        </w:rPr>
        <w:t>.</w:t>
      </w:r>
    </w:p>
    <w:p w14:paraId="491C2C2F" w14:textId="6C9D9965" w:rsidR="009B75B3" w:rsidRDefault="009B75B3" w:rsidP="00931BCD">
      <w:pPr>
        <w:spacing w:line="240" w:lineRule="auto"/>
        <w:rPr>
          <w:rFonts w:ascii="Gibson" w:hAnsi="Gibson" w:cstheme="minorHAnsi"/>
          <w:sz w:val="22"/>
          <w:szCs w:val="22"/>
          <w:lang w:val="es-MX"/>
        </w:rPr>
      </w:pPr>
    </w:p>
    <w:p w14:paraId="23968ADE" w14:textId="31FE409A" w:rsidR="009B75B3" w:rsidRPr="00F60B54" w:rsidRDefault="009B75B3" w:rsidP="009B75B3">
      <w:pPr>
        <w:spacing w:line="240" w:lineRule="auto"/>
        <w:jc w:val="center"/>
        <w:rPr>
          <w:rFonts w:ascii="Gibson" w:hAnsi="Gibson" w:cstheme="minorHAnsi"/>
          <w:b/>
          <w:bCs/>
          <w:sz w:val="22"/>
          <w:szCs w:val="22"/>
          <w:lang w:val="es-MX"/>
        </w:rPr>
      </w:pPr>
      <w:r w:rsidRPr="00F60B54">
        <w:rPr>
          <w:rFonts w:ascii="Gibson" w:hAnsi="Gibson" w:cstheme="minorHAnsi"/>
          <w:b/>
          <w:bCs/>
          <w:sz w:val="22"/>
          <w:szCs w:val="22"/>
          <w:lang w:val="es-MX"/>
        </w:rPr>
        <w:t>Atentamente</w:t>
      </w:r>
    </w:p>
    <w:p w14:paraId="615A2E81" w14:textId="6F764CCE" w:rsidR="009B75B3" w:rsidRDefault="009B75B3" w:rsidP="009B75B3">
      <w:pPr>
        <w:spacing w:line="240" w:lineRule="auto"/>
        <w:jc w:val="center"/>
        <w:rPr>
          <w:rFonts w:ascii="Gibson" w:hAnsi="Gibson" w:cstheme="minorHAnsi"/>
          <w:sz w:val="22"/>
          <w:szCs w:val="22"/>
          <w:lang w:val="es-MX"/>
        </w:rPr>
      </w:pPr>
      <w:r w:rsidRPr="00F60B54">
        <w:rPr>
          <w:rFonts w:ascii="Gibson" w:hAnsi="Gibson" w:cstheme="minorHAnsi"/>
          <w:sz w:val="22"/>
          <w:szCs w:val="22"/>
          <w:lang w:val="es-MX"/>
        </w:rPr>
        <w:t>[</w:t>
      </w:r>
      <w:r w:rsidR="00DD4454" w:rsidRPr="00DD4454">
        <w:rPr>
          <w:rFonts w:ascii="Gibson" w:hAnsi="Gibson" w:cstheme="minorHAnsi"/>
          <w:i/>
          <w:iCs/>
          <w:sz w:val="22"/>
          <w:szCs w:val="22"/>
          <w:lang w:val="es-MX"/>
        </w:rPr>
        <w:t>Nombre, d</w:t>
      </w:r>
      <w:r w:rsidRPr="00F60B54">
        <w:rPr>
          <w:rFonts w:ascii="Gibson" w:hAnsi="Gibson" w:cstheme="minorHAnsi"/>
          <w:i/>
          <w:iCs/>
          <w:sz w:val="22"/>
          <w:szCs w:val="22"/>
          <w:lang w:val="es-MX"/>
        </w:rPr>
        <w:t xml:space="preserve">enominación </w:t>
      </w:r>
      <w:r w:rsidR="00DD4454">
        <w:rPr>
          <w:rFonts w:ascii="Gibson" w:hAnsi="Gibson" w:cstheme="minorHAnsi"/>
          <w:i/>
          <w:iCs/>
          <w:sz w:val="22"/>
          <w:szCs w:val="22"/>
          <w:lang w:val="es-MX"/>
        </w:rPr>
        <w:t xml:space="preserve">o razón social </w:t>
      </w:r>
      <w:r w:rsidRPr="00F60B54">
        <w:rPr>
          <w:rFonts w:ascii="Gibson" w:hAnsi="Gibson" w:cstheme="minorHAnsi"/>
          <w:i/>
          <w:iCs/>
          <w:sz w:val="22"/>
          <w:szCs w:val="22"/>
          <w:lang w:val="es-MX"/>
        </w:rPr>
        <w:t>de</w:t>
      </w:r>
      <w:r w:rsidR="00931BCD">
        <w:rPr>
          <w:rFonts w:ascii="Gibson" w:hAnsi="Gibson" w:cstheme="minorHAnsi"/>
          <w:i/>
          <w:iCs/>
          <w:sz w:val="22"/>
          <w:szCs w:val="22"/>
          <w:lang w:val="es-MX"/>
        </w:rPr>
        <w:t>l Licitante</w:t>
      </w:r>
      <w:r w:rsidRPr="00F60B54">
        <w:rPr>
          <w:rFonts w:ascii="Gibson" w:hAnsi="Gibson" w:cstheme="minorHAnsi"/>
          <w:sz w:val="22"/>
          <w:szCs w:val="22"/>
          <w:lang w:val="es-MX"/>
        </w:rPr>
        <w:t>]</w:t>
      </w:r>
    </w:p>
    <w:p w14:paraId="22E20CDE" w14:textId="1B34AB8F" w:rsidR="00DD4454" w:rsidRDefault="00DD4454" w:rsidP="009B75B3">
      <w:pPr>
        <w:spacing w:line="240" w:lineRule="auto"/>
        <w:jc w:val="center"/>
        <w:rPr>
          <w:rFonts w:ascii="Gibson" w:hAnsi="Gibson" w:cstheme="minorHAnsi"/>
          <w:sz w:val="22"/>
          <w:szCs w:val="22"/>
          <w:lang w:val="es-MX"/>
        </w:rPr>
      </w:pPr>
    </w:p>
    <w:p w14:paraId="4EA6510F" w14:textId="5D808A8F" w:rsidR="00FD2437" w:rsidRDefault="00FD2437" w:rsidP="009B75B3">
      <w:pPr>
        <w:spacing w:line="240" w:lineRule="auto"/>
        <w:jc w:val="center"/>
        <w:rPr>
          <w:rFonts w:ascii="Gibson" w:hAnsi="Gibson" w:cstheme="minorHAnsi"/>
          <w:sz w:val="22"/>
          <w:szCs w:val="22"/>
          <w:lang w:val="es-MX"/>
        </w:rPr>
      </w:pPr>
    </w:p>
    <w:p w14:paraId="27506F2F" w14:textId="77777777" w:rsidR="00FD2437" w:rsidRPr="00F60B54" w:rsidRDefault="00FD2437" w:rsidP="009B75B3">
      <w:pPr>
        <w:spacing w:line="240" w:lineRule="auto"/>
        <w:jc w:val="center"/>
        <w:rPr>
          <w:rFonts w:ascii="Gibson" w:hAnsi="Gibson" w:cstheme="minorHAnsi"/>
          <w:sz w:val="22"/>
          <w:szCs w:val="22"/>
          <w:lang w:val="es-MX"/>
        </w:rPr>
      </w:pPr>
    </w:p>
    <w:p w14:paraId="3A4B5731" w14:textId="77777777" w:rsidR="009B75B3" w:rsidRPr="00F60B54" w:rsidRDefault="009B75B3" w:rsidP="009B75B3">
      <w:pPr>
        <w:spacing w:line="240" w:lineRule="auto"/>
        <w:jc w:val="center"/>
        <w:rPr>
          <w:rFonts w:ascii="Gibson" w:hAnsi="Gibson" w:cstheme="minorHAnsi"/>
          <w:sz w:val="22"/>
          <w:szCs w:val="22"/>
          <w:lang w:val="es-MX"/>
        </w:rPr>
      </w:pPr>
      <w:r w:rsidRPr="00F60B54">
        <w:rPr>
          <w:rFonts w:ascii="Gibson" w:hAnsi="Gibson" w:cstheme="minorHAnsi"/>
          <w:sz w:val="22"/>
          <w:szCs w:val="22"/>
          <w:lang w:val="es-MX"/>
        </w:rPr>
        <w:t>_________________</w:t>
      </w:r>
      <w:r>
        <w:rPr>
          <w:rFonts w:ascii="Gibson" w:hAnsi="Gibson" w:cstheme="minorHAnsi"/>
          <w:sz w:val="22"/>
          <w:szCs w:val="22"/>
          <w:lang w:val="es-MX"/>
        </w:rPr>
        <w:t>___________________</w:t>
      </w:r>
      <w:r w:rsidRPr="00F60B54">
        <w:rPr>
          <w:rFonts w:ascii="Gibson" w:hAnsi="Gibson" w:cstheme="minorHAnsi"/>
          <w:sz w:val="22"/>
          <w:szCs w:val="22"/>
          <w:lang w:val="es-MX"/>
        </w:rPr>
        <w:t>___________</w:t>
      </w:r>
    </w:p>
    <w:p w14:paraId="775CBB2E" w14:textId="1BD43B41" w:rsidR="009B75B3" w:rsidRPr="00F60B54" w:rsidRDefault="009B75B3" w:rsidP="009B75B3">
      <w:pPr>
        <w:spacing w:line="240" w:lineRule="auto"/>
        <w:jc w:val="center"/>
        <w:rPr>
          <w:rFonts w:ascii="Gibson" w:hAnsi="Gibson" w:cstheme="minorHAnsi"/>
          <w:sz w:val="22"/>
          <w:szCs w:val="22"/>
          <w:lang w:val="es-MX"/>
        </w:rPr>
      </w:pPr>
      <w:r w:rsidRPr="00F60B54">
        <w:rPr>
          <w:rFonts w:ascii="Gibson" w:hAnsi="Gibson" w:cstheme="minorHAnsi"/>
          <w:sz w:val="22"/>
          <w:szCs w:val="22"/>
          <w:lang w:val="es-MX"/>
        </w:rPr>
        <w:t>[</w:t>
      </w:r>
      <w:r w:rsidRPr="00F60B54">
        <w:rPr>
          <w:rFonts w:ascii="Gibson" w:hAnsi="Gibson" w:cstheme="minorHAnsi"/>
          <w:i/>
          <w:iCs/>
          <w:sz w:val="22"/>
          <w:szCs w:val="22"/>
          <w:lang w:val="es-MX"/>
        </w:rPr>
        <w:t xml:space="preserve">Nombre del </w:t>
      </w:r>
      <w:r>
        <w:rPr>
          <w:rFonts w:ascii="Gibson" w:hAnsi="Gibson" w:cstheme="minorHAnsi"/>
          <w:i/>
          <w:iCs/>
          <w:sz w:val="22"/>
          <w:szCs w:val="22"/>
          <w:lang w:val="es-MX"/>
        </w:rPr>
        <w:t>representante</w:t>
      </w:r>
      <w:r w:rsidRPr="00F60B54">
        <w:rPr>
          <w:rFonts w:ascii="Gibson" w:hAnsi="Gibson" w:cstheme="minorHAnsi"/>
          <w:sz w:val="22"/>
          <w:szCs w:val="22"/>
          <w:lang w:val="es-MX"/>
        </w:rPr>
        <w:t>]</w:t>
      </w:r>
    </w:p>
    <w:p w14:paraId="0E3DBF4D" w14:textId="5F2163EA" w:rsidR="00E50F32" w:rsidRDefault="009B75B3" w:rsidP="009B75B3">
      <w:pPr>
        <w:spacing w:line="240" w:lineRule="auto"/>
        <w:jc w:val="center"/>
        <w:rPr>
          <w:rFonts w:ascii="Gibson" w:eastAsia="Times New Roman" w:hAnsi="Gibson" w:cstheme="minorHAnsi"/>
          <w:bCs/>
          <w:spacing w:val="-1"/>
          <w:sz w:val="22"/>
          <w:szCs w:val="22"/>
          <w:shd w:val="clear" w:color="auto" w:fill="FFFFFF"/>
          <w:lang w:val="es-MX"/>
        </w:rPr>
      </w:pPr>
      <w:r w:rsidRPr="00F60B54">
        <w:rPr>
          <w:rFonts w:ascii="Gibson" w:eastAsia="Times New Roman" w:hAnsi="Gibson" w:cstheme="minorHAnsi"/>
          <w:bCs/>
          <w:spacing w:val="-1"/>
          <w:sz w:val="22"/>
          <w:szCs w:val="22"/>
          <w:shd w:val="clear" w:color="auto" w:fill="FFFFFF"/>
          <w:lang w:val="es-MX"/>
        </w:rPr>
        <w:t>[</w:t>
      </w:r>
      <w:r w:rsidRPr="00F60B54">
        <w:rPr>
          <w:rFonts w:ascii="Gibson" w:eastAsia="Times New Roman" w:hAnsi="Gibson" w:cstheme="minorHAnsi"/>
          <w:bCs/>
          <w:i/>
          <w:iCs/>
          <w:spacing w:val="-1"/>
          <w:sz w:val="22"/>
          <w:szCs w:val="22"/>
          <w:shd w:val="clear" w:color="auto" w:fill="FFFFFF"/>
          <w:lang w:val="es-MX"/>
        </w:rPr>
        <w:t>Cargo</w:t>
      </w:r>
      <w:r w:rsidRPr="00F60B54">
        <w:rPr>
          <w:rFonts w:ascii="Gibson" w:eastAsia="Times New Roman" w:hAnsi="Gibson" w:cstheme="minorHAnsi"/>
          <w:bCs/>
          <w:spacing w:val="-1"/>
          <w:sz w:val="22"/>
          <w:szCs w:val="22"/>
          <w:shd w:val="clear" w:color="auto" w:fill="FFFFFF"/>
          <w:lang w:val="es-MX"/>
        </w:rPr>
        <w:t>]</w:t>
      </w:r>
      <w:bookmarkStart w:id="1" w:name="_Hlk26388428"/>
      <w:r w:rsidR="004C2A5D" w:rsidRPr="006D1E13">
        <w:rPr>
          <w:rStyle w:val="Refdenotaalpie"/>
          <w:rFonts w:ascii="Gibson" w:hAnsi="Gibson" w:cstheme="minorHAnsi"/>
          <w:sz w:val="22"/>
          <w:szCs w:val="22"/>
          <w:lang w:val="es-MX"/>
        </w:rPr>
        <w:footnoteReference w:id="3"/>
      </w:r>
      <w:bookmarkEnd w:id="1"/>
    </w:p>
    <w:p w14:paraId="6B144079" w14:textId="5AD98D89" w:rsidR="000B5ECA" w:rsidRPr="000B5ECA" w:rsidRDefault="000B5ECA" w:rsidP="000B5ECA">
      <w:pPr>
        <w:spacing w:after="160" w:line="259" w:lineRule="auto"/>
        <w:jc w:val="left"/>
        <w:rPr>
          <w:rFonts w:ascii="Gibson" w:eastAsia="Times New Roman" w:hAnsi="Gibson" w:cstheme="minorHAnsi"/>
          <w:bCs/>
          <w:spacing w:val="-1"/>
          <w:sz w:val="22"/>
          <w:szCs w:val="22"/>
          <w:shd w:val="clear" w:color="auto" w:fill="FFFFFF"/>
          <w:lang w:val="es-MX"/>
        </w:rPr>
      </w:pPr>
    </w:p>
    <w:sectPr w:rsidR="000B5ECA" w:rsidRPr="000B5EC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99873" w14:textId="77777777" w:rsidR="00D204A1" w:rsidRDefault="00D204A1" w:rsidP="004C2A5D">
      <w:pPr>
        <w:spacing w:line="240" w:lineRule="auto"/>
      </w:pPr>
      <w:r>
        <w:separator/>
      </w:r>
    </w:p>
  </w:endnote>
  <w:endnote w:type="continuationSeparator" w:id="0">
    <w:p w14:paraId="5D64F296" w14:textId="77777777" w:rsidR="00D204A1" w:rsidRDefault="00D204A1" w:rsidP="004C2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w:altName w:val="Cambria"/>
    <w:panose1 w:val="00000000000000000000"/>
    <w:charset w:val="4D"/>
    <w:family w:val="auto"/>
    <w:notTrueType/>
    <w:pitch w:val="variable"/>
    <w:sig w:usb0="80000007" w:usb1="4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bson" w:hAnsi="Gibson"/>
        <w:sz w:val="18"/>
        <w:szCs w:val="18"/>
      </w:rPr>
      <w:id w:val="-1335840212"/>
      <w:docPartObj>
        <w:docPartGallery w:val="Page Numbers (Bottom of Page)"/>
        <w:docPartUnique/>
      </w:docPartObj>
    </w:sdtPr>
    <w:sdtContent>
      <w:sdt>
        <w:sdtPr>
          <w:rPr>
            <w:rFonts w:ascii="Gibson" w:hAnsi="Gibson"/>
            <w:sz w:val="18"/>
            <w:szCs w:val="18"/>
          </w:rPr>
          <w:id w:val="-1769616900"/>
          <w:docPartObj>
            <w:docPartGallery w:val="Page Numbers (Top of Page)"/>
            <w:docPartUnique/>
          </w:docPartObj>
        </w:sdtPr>
        <w:sdtContent>
          <w:p w14:paraId="784E7149" w14:textId="2E625640" w:rsidR="00D47E26" w:rsidRPr="00931BCD" w:rsidRDefault="00D47E26">
            <w:pPr>
              <w:pStyle w:val="Piedepgina"/>
              <w:jc w:val="right"/>
              <w:rPr>
                <w:rFonts w:ascii="Gibson" w:hAnsi="Gibson"/>
                <w:sz w:val="18"/>
                <w:szCs w:val="18"/>
              </w:rPr>
            </w:pPr>
            <w:r w:rsidRPr="00931BCD">
              <w:rPr>
                <w:rFonts w:ascii="Gibson" w:hAnsi="Gibson" w:cstheme="minorHAnsi"/>
                <w:sz w:val="18"/>
                <w:szCs w:val="18"/>
              </w:rPr>
              <w:t xml:space="preserve">Página </w:t>
            </w:r>
            <w:r w:rsidRPr="00931BCD">
              <w:rPr>
                <w:rFonts w:ascii="Gibson" w:hAnsi="Gibson" w:cstheme="minorHAnsi"/>
                <w:b/>
                <w:bCs/>
                <w:sz w:val="18"/>
                <w:szCs w:val="18"/>
              </w:rPr>
              <w:fldChar w:fldCharType="begin"/>
            </w:r>
            <w:r w:rsidRPr="00931BCD">
              <w:rPr>
                <w:rFonts w:ascii="Gibson" w:hAnsi="Gibson" w:cstheme="minorHAnsi"/>
                <w:b/>
                <w:bCs/>
                <w:sz w:val="18"/>
                <w:szCs w:val="18"/>
              </w:rPr>
              <w:instrText>PAGE</w:instrText>
            </w:r>
            <w:r w:rsidRPr="00931BCD">
              <w:rPr>
                <w:rFonts w:ascii="Gibson" w:hAnsi="Gibson" w:cstheme="minorHAnsi"/>
                <w:b/>
                <w:bCs/>
                <w:sz w:val="18"/>
                <w:szCs w:val="18"/>
              </w:rPr>
              <w:fldChar w:fldCharType="separate"/>
            </w:r>
            <w:r w:rsidRPr="00931BCD">
              <w:rPr>
                <w:rFonts w:ascii="Gibson" w:hAnsi="Gibson" w:cstheme="minorHAnsi"/>
                <w:b/>
                <w:bCs/>
                <w:sz w:val="18"/>
                <w:szCs w:val="18"/>
              </w:rPr>
              <w:t>2</w:t>
            </w:r>
            <w:r w:rsidRPr="00931BCD">
              <w:rPr>
                <w:rFonts w:ascii="Gibson" w:hAnsi="Gibson" w:cstheme="minorHAnsi"/>
                <w:b/>
                <w:bCs/>
                <w:sz w:val="18"/>
                <w:szCs w:val="18"/>
              </w:rPr>
              <w:fldChar w:fldCharType="end"/>
            </w:r>
          </w:p>
        </w:sdtContent>
      </w:sdt>
    </w:sdtContent>
  </w:sdt>
  <w:p w14:paraId="12046EB4" w14:textId="77777777" w:rsidR="00D47E26" w:rsidRDefault="00D47E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0CAD1" w14:textId="77777777" w:rsidR="00D204A1" w:rsidRDefault="00D204A1" w:rsidP="004C2A5D">
      <w:pPr>
        <w:spacing w:line="240" w:lineRule="auto"/>
      </w:pPr>
      <w:r>
        <w:separator/>
      </w:r>
    </w:p>
  </w:footnote>
  <w:footnote w:type="continuationSeparator" w:id="0">
    <w:p w14:paraId="78227F88" w14:textId="77777777" w:rsidR="00D204A1" w:rsidRDefault="00D204A1" w:rsidP="004C2A5D">
      <w:pPr>
        <w:spacing w:line="240" w:lineRule="auto"/>
      </w:pPr>
      <w:r>
        <w:continuationSeparator/>
      </w:r>
    </w:p>
  </w:footnote>
  <w:footnote w:id="1">
    <w:p w14:paraId="5A76D00B" w14:textId="4C2CD50C" w:rsidR="004C2A5D" w:rsidRPr="00AC2FB3" w:rsidRDefault="004C2A5D" w:rsidP="004C2A5D">
      <w:pPr>
        <w:pStyle w:val="Textonotapie"/>
        <w:jc w:val="both"/>
        <w:rPr>
          <w:rFonts w:ascii="Gibson" w:hAnsi="Gibson"/>
          <w:sz w:val="18"/>
          <w:szCs w:val="18"/>
        </w:rPr>
      </w:pPr>
      <w:r w:rsidRPr="00AC2FB3">
        <w:rPr>
          <w:rStyle w:val="Refdenotaalpie"/>
          <w:rFonts w:ascii="Gibson" w:hAnsi="Gibson"/>
          <w:sz w:val="18"/>
          <w:szCs w:val="18"/>
        </w:rPr>
        <w:footnoteRef/>
      </w:r>
      <w:r w:rsidRPr="00AC2FB3">
        <w:rPr>
          <w:rFonts w:ascii="Gibson" w:hAnsi="Gibson"/>
          <w:sz w:val="18"/>
          <w:szCs w:val="18"/>
        </w:rPr>
        <w:t xml:space="preserve"> En su caso, el Licitante podrá incrementar el plazo de la vigencia de la Oferta</w:t>
      </w:r>
      <w:r w:rsidR="00960E4E" w:rsidRPr="00AC2FB3">
        <w:rPr>
          <w:rFonts w:ascii="Gibson" w:hAnsi="Gibson"/>
          <w:sz w:val="18"/>
          <w:szCs w:val="18"/>
        </w:rPr>
        <w:t xml:space="preserve"> de Crédito</w:t>
      </w:r>
      <w:r w:rsidRPr="00AC2FB3">
        <w:rPr>
          <w:rFonts w:ascii="Gibson" w:hAnsi="Gibson"/>
          <w:sz w:val="18"/>
          <w:szCs w:val="18"/>
        </w:rPr>
        <w:t>, en el entendido que no podrá ser menor a 60 (sesenta) días naturales.</w:t>
      </w:r>
    </w:p>
  </w:footnote>
  <w:footnote w:id="2">
    <w:p w14:paraId="40A4BDAF" w14:textId="6CD62C9D" w:rsidR="00960E4E" w:rsidRPr="00AC2FB3" w:rsidRDefault="00960E4E">
      <w:pPr>
        <w:pStyle w:val="Textonotapie"/>
        <w:rPr>
          <w:rFonts w:ascii="Gibson" w:hAnsi="Gibson"/>
          <w:sz w:val="18"/>
          <w:szCs w:val="18"/>
        </w:rPr>
      </w:pPr>
      <w:r w:rsidRPr="00AC2FB3">
        <w:rPr>
          <w:rStyle w:val="Refdenotaalpie"/>
          <w:rFonts w:ascii="Gibson" w:hAnsi="Gibson"/>
          <w:sz w:val="18"/>
          <w:szCs w:val="18"/>
        </w:rPr>
        <w:footnoteRef/>
      </w:r>
      <w:r w:rsidRPr="00AC2FB3">
        <w:rPr>
          <w:rFonts w:ascii="Gibson" w:hAnsi="Gibson"/>
          <w:sz w:val="18"/>
          <w:szCs w:val="18"/>
        </w:rPr>
        <w:t xml:space="preserve"> La Sobretasa deberá expresarse con dos decimales</w:t>
      </w:r>
    </w:p>
  </w:footnote>
  <w:footnote w:id="3">
    <w:p w14:paraId="7B843711" w14:textId="1A418894" w:rsidR="000B5ECA" w:rsidRPr="000B5ECA" w:rsidRDefault="004C2A5D" w:rsidP="004C2A5D">
      <w:pPr>
        <w:pStyle w:val="Textonotapie"/>
        <w:jc w:val="both"/>
        <w:rPr>
          <w:rFonts w:ascii="Gibson" w:hAnsi="Gibson" w:cstheme="minorHAnsi"/>
          <w:sz w:val="18"/>
          <w:szCs w:val="18"/>
        </w:rPr>
      </w:pPr>
      <w:r w:rsidRPr="00AC2FB3">
        <w:rPr>
          <w:rStyle w:val="Refdenotaalpie"/>
          <w:rFonts w:ascii="Gibson" w:hAnsi="Gibson" w:cstheme="minorHAnsi"/>
          <w:sz w:val="18"/>
          <w:szCs w:val="18"/>
        </w:rPr>
        <w:footnoteRef/>
      </w:r>
      <w:r w:rsidRPr="00AC2FB3">
        <w:rPr>
          <w:rFonts w:ascii="Gibson" w:hAnsi="Gibson" w:cstheme="minorHAnsi"/>
          <w:sz w:val="18"/>
          <w:szCs w:val="18"/>
        </w:rPr>
        <w:t xml:space="preserve"> Los Licitantes al individualizar la Oferta de Crédito pueden incluir la firma de dos </w:t>
      </w:r>
      <w:r w:rsidR="000B5ECA" w:rsidRPr="00AC2FB3">
        <w:rPr>
          <w:rFonts w:ascii="Gibson" w:hAnsi="Gibson" w:cstheme="minorHAnsi"/>
          <w:sz w:val="18"/>
          <w:szCs w:val="18"/>
        </w:rPr>
        <w:t xml:space="preserve">o más </w:t>
      </w:r>
      <w:r w:rsidRPr="00AC2FB3">
        <w:rPr>
          <w:rFonts w:ascii="Gibson" w:hAnsi="Gibson" w:cstheme="minorHAnsi"/>
          <w:sz w:val="18"/>
          <w:szCs w:val="18"/>
        </w:rPr>
        <w:t>representantes, dada su política de mancomunidad de poderes, sin que esto pueda considerarse una modificación indebida del Formato de Oferta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E3D5" w14:textId="4A3765B0" w:rsidR="009B75B3" w:rsidRPr="009B75B3" w:rsidRDefault="009B75B3" w:rsidP="009B75B3">
    <w:pPr>
      <w:spacing w:line="264" w:lineRule="auto"/>
      <w:ind w:left="-567"/>
      <w:jc w:val="right"/>
      <w:rPr>
        <w:rFonts w:ascii="Gibson" w:eastAsia="Times New Roman" w:hAnsi="Gibson"/>
        <w:b/>
        <w:bCs/>
        <w:spacing w:val="0"/>
        <w:lang w:val="es-ES_tradnl" w:eastAsia="es-ES"/>
      </w:rPr>
    </w:pPr>
    <w:r w:rsidRPr="009B75B3">
      <w:rPr>
        <w:rFonts w:ascii="Gibson" w:eastAsia="Times New Roman" w:hAnsi="Gibson"/>
        <w:b/>
        <w:bCs/>
        <w:spacing w:val="0"/>
        <w:lang w:val="es-ES_tradnl" w:eastAsia="es-ES"/>
      </w:rPr>
      <w:t xml:space="preserve">LICITACIÓN PÚBLICA </w:t>
    </w:r>
    <w:r w:rsidR="004A4B41" w:rsidRPr="004A4B41">
      <w:rPr>
        <w:rFonts w:ascii="Gibson" w:eastAsia="Times New Roman" w:hAnsi="Gibson"/>
        <w:b/>
        <w:bCs/>
        <w:spacing w:val="0"/>
        <w:lang w:val="es-ES_tradnl" w:eastAsia="es-ES"/>
      </w:rPr>
      <w:t>SFA-FAFEF-D682-1/2024</w:t>
    </w:r>
  </w:p>
  <w:p w14:paraId="0284711F" w14:textId="7B9CF50D" w:rsidR="009B75B3" w:rsidRPr="009B75B3" w:rsidRDefault="009B75B3" w:rsidP="009B75B3">
    <w:pPr>
      <w:tabs>
        <w:tab w:val="center" w:pos="4252"/>
        <w:tab w:val="right" w:pos="8504"/>
      </w:tabs>
      <w:spacing w:line="240" w:lineRule="auto"/>
      <w:jc w:val="right"/>
      <w:rPr>
        <w:rFonts w:ascii="Gibson" w:eastAsia="Times New Roman" w:hAnsi="Gibson" w:cstheme="minorHAnsi"/>
        <w:b/>
        <w:bCs/>
        <w:i/>
        <w:iCs/>
        <w:color w:val="767171" w:themeColor="background2" w:themeShade="80"/>
        <w:spacing w:val="0"/>
        <w:sz w:val="18"/>
        <w:szCs w:val="18"/>
        <w:lang w:val="es-MX" w:eastAsia="es-ES"/>
      </w:rPr>
    </w:pPr>
    <w:r>
      <w:rPr>
        <w:rFonts w:ascii="Gibson" w:eastAsia="Times New Roman" w:hAnsi="Gibson" w:cstheme="minorHAnsi"/>
        <w:b/>
        <w:bCs/>
        <w:i/>
        <w:iCs/>
        <w:color w:val="767171" w:themeColor="background2" w:themeShade="80"/>
        <w:spacing w:val="0"/>
        <w:sz w:val="18"/>
        <w:szCs w:val="18"/>
        <w:lang w:val="es-MX" w:eastAsia="es-ES"/>
      </w:rPr>
      <w:t>Formato de Oferta de Crédito</w:t>
    </w:r>
  </w:p>
  <w:p w14:paraId="4B711872" w14:textId="77777777" w:rsidR="00263AF0" w:rsidRPr="00263AF0" w:rsidRDefault="00263AF0" w:rsidP="00263AF0">
    <w:pPr>
      <w:spacing w:line="240" w:lineRule="auto"/>
      <w:jc w:val="left"/>
      <w:rPr>
        <w:rFonts w:ascii="Gibson" w:hAnsi="Gibson" w:cstheme="minorHAnsi"/>
        <w:i/>
        <w:iCs/>
        <w:sz w:val="22"/>
        <w:szCs w:val="22"/>
        <w:lang w:val="es-MX"/>
      </w:rPr>
    </w:pPr>
    <w:r w:rsidRPr="00263AF0">
      <w:rPr>
        <w:rFonts w:ascii="Gibson" w:hAnsi="Gibson" w:cstheme="minorHAnsi"/>
        <w:i/>
        <w:iCs/>
        <w:sz w:val="22"/>
        <w:szCs w:val="22"/>
        <w:lang w:val="es-MX"/>
      </w:rPr>
      <w:t>[Membrete del Licitante]</w:t>
    </w:r>
  </w:p>
  <w:p w14:paraId="618B98BA" w14:textId="272CDEE6" w:rsidR="00D47E26" w:rsidRPr="00D47E26" w:rsidRDefault="00D47E26" w:rsidP="00263AF0">
    <w:pPr>
      <w:pStyle w:val="Encabezado"/>
      <w:jc w:val="left"/>
      <w:rPr>
        <w:rFonts w:asciiTheme="minorHAnsi" w:hAnsiTheme="minorHAnsi" w:cstheme="minorHAnsi"/>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i w:val="0"/>
        <w:iCs/>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15:restartNumberingAfterBreak="0">
    <w:nsid w:val="4AE45D0A"/>
    <w:multiLevelType w:val="hybridMultilevel"/>
    <w:tmpl w:val="3E662126"/>
    <w:lvl w:ilvl="0" w:tplc="23D628B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C436E79"/>
    <w:multiLevelType w:val="multilevel"/>
    <w:tmpl w:val="F3B043C0"/>
    <w:lvl w:ilvl="0">
      <w:start w:val="1"/>
      <w:numFmt w:val="decimal"/>
      <w:lvlText w:val="%1."/>
      <w:lvlJc w:val="left"/>
      <w:pPr>
        <w:ind w:left="360" w:hanging="360"/>
      </w:pPr>
    </w:lvl>
    <w:lvl w:ilvl="1">
      <w:start w:val="1"/>
      <w:numFmt w:val="decimal"/>
      <w:lvlText w:val="%1.%2."/>
      <w:lvlJc w:val="left"/>
      <w:pPr>
        <w:ind w:left="360" w:hanging="360"/>
      </w:pPr>
      <w:rPr>
        <w:rFonts w:ascii="Arial" w:eastAsia="Arial" w:hAnsi="Arial" w:cs="Arial"/>
        <w:b/>
      </w:rPr>
    </w:lvl>
    <w:lvl w:ilvl="2">
      <w:start w:val="1"/>
      <w:numFmt w:val="decimal"/>
      <w:lvlText w:val="%1.%2.%3."/>
      <w:lvlJc w:val="left"/>
      <w:pPr>
        <w:ind w:left="720" w:hanging="720"/>
      </w:pPr>
      <w:rPr>
        <w:rFonts w:ascii="Arial" w:eastAsia="Arial" w:hAnsi="Arial" w:cs="Arial"/>
        <w:b/>
        <w:i w:val="0"/>
        <w:color w:val="00000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AB24F2C"/>
    <w:multiLevelType w:val="hybridMultilevel"/>
    <w:tmpl w:val="7004AEF8"/>
    <w:lvl w:ilvl="0" w:tplc="6B94928C">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915385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473647">
    <w:abstractNumId w:val="0"/>
  </w:num>
  <w:num w:numId="3" w16cid:durableId="1725520802">
    <w:abstractNumId w:val="1"/>
  </w:num>
  <w:num w:numId="4" w16cid:durableId="758674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385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34"/>
    <w:rsid w:val="00015FBA"/>
    <w:rsid w:val="00030AAF"/>
    <w:rsid w:val="00043AC8"/>
    <w:rsid w:val="00067500"/>
    <w:rsid w:val="00077433"/>
    <w:rsid w:val="000809FD"/>
    <w:rsid w:val="00091951"/>
    <w:rsid w:val="000B5ECA"/>
    <w:rsid w:val="000E2F34"/>
    <w:rsid w:val="000E5C78"/>
    <w:rsid w:val="00192D1F"/>
    <w:rsid w:val="00226A91"/>
    <w:rsid w:val="00263AF0"/>
    <w:rsid w:val="00297714"/>
    <w:rsid w:val="002A2636"/>
    <w:rsid w:val="002D322D"/>
    <w:rsid w:val="002D5BFC"/>
    <w:rsid w:val="002F0D8E"/>
    <w:rsid w:val="002F38EC"/>
    <w:rsid w:val="002F3F4D"/>
    <w:rsid w:val="002F3F9B"/>
    <w:rsid w:val="003129BE"/>
    <w:rsid w:val="00330F3E"/>
    <w:rsid w:val="00335FC5"/>
    <w:rsid w:val="00350786"/>
    <w:rsid w:val="003510DF"/>
    <w:rsid w:val="00371884"/>
    <w:rsid w:val="003943AE"/>
    <w:rsid w:val="003A18F8"/>
    <w:rsid w:val="003A3BB8"/>
    <w:rsid w:val="003B0B2D"/>
    <w:rsid w:val="003C479C"/>
    <w:rsid w:val="003D2F9D"/>
    <w:rsid w:val="003F7EFD"/>
    <w:rsid w:val="0040572B"/>
    <w:rsid w:val="00432637"/>
    <w:rsid w:val="00470372"/>
    <w:rsid w:val="0048470B"/>
    <w:rsid w:val="004A4B41"/>
    <w:rsid w:val="004A64CB"/>
    <w:rsid w:val="004B1CCD"/>
    <w:rsid w:val="004B2EE0"/>
    <w:rsid w:val="004B7A16"/>
    <w:rsid w:val="004C25E8"/>
    <w:rsid w:val="004C2A5D"/>
    <w:rsid w:val="004D4368"/>
    <w:rsid w:val="00501174"/>
    <w:rsid w:val="00501907"/>
    <w:rsid w:val="0053593F"/>
    <w:rsid w:val="00537F87"/>
    <w:rsid w:val="00542778"/>
    <w:rsid w:val="00575D50"/>
    <w:rsid w:val="00584967"/>
    <w:rsid w:val="00591A8F"/>
    <w:rsid w:val="005D6478"/>
    <w:rsid w:val="005F193F"/>
    <w:rsid w:val="005F6E57"/>
    <w:rsid w:val="006110E7"/>
    <w:rsid w:val="0065476F"/>
    <w:rsid w:val="006A5F4F"/>
    <w:rsid w:val="006A7C8E"/>
    <w:rsid w:val="006D1E13"/>
    <w:rsid w:val="006E0E24"/>
    <w:rsid w:val="006E2DD9"/>
    <w:rsid w:val="006F44C0"/>
    <w:rsid w:val="0071126E"/>
    <w:rsid w:val="00731912"/>
    <w:rsid w:val="00736E83"/>
    <w:rsid w:val="007457A6"/>
    <w:rsid w:val="00777E28"/>
    <w:rsid w:val="007A3ED0"/>
    <w:rsid w:val="007B2CA1"/>
    <w:rsid w:val="007B61DF"/>
    <w:rsid w:val="007E6A07"/>
    <w:rsid w:val="0082799C"/>
    <w:rsid w:val="00827D74"/>
    <w:rsid w:val="00842E46"/>
    <w:rsid w:val="008478AC"/>
    <w:rsid w:val="00850C62"/>
    <w:rsid w:val="00867428"/>
    <w:rsid w:val="00873EC8"/>
    <w:rsid w:val="008B6C88"/>
    <w:rsid w:val="008C323E"/>
    <w:rsid w:val="008C692B"/>
    <w:rsid w:val="008E5829"/>
    <w:rsid w:val="008F2E89"/>
    <w:rsid w:val="008F5775"/>
    <w:rsid w:val="009001EA"/>
    <w:rsid w:val="00904A04"/>
    <w:rsid w:val="00926A54"/>
    <w:rsid w:val="00931BCD"/>
    <w:rsid w:val="00956B44"/>
    <w:rsid w:val="00960821"/>
    <w:rsid w:val="00960E4E"/>
    <w:rsid w:val="00985B57"/>
    <w:rsid w:val="009B75B3"/>
    <w:rsid w:val="009D02DB"/>
    <w:rsid w:val="009D13DA"/>
    <w:rsid w:val="00A2169A"/>
    <w:rsid w:val="00A55CBE"/>
    <w:rsid w:val="00AC2FB3"/>
    <w:rsid w:val="00AD542B"/>
    <w:rsid w:val="00B127A3"/>
    <w:rsid w:val="00B22C19"/>
    <w:rsid w:val="00B44A1A"/>
    <w:rsid w:val="00B47683"/>
    <w:rsid w:val="00BD289D"/>
    <w:rsid w:val="00BE1035"/>
    <w:rsid w:val="00BF628F"/>
    <w:rsid w:val="00C23677"/>
    <w:rsid w:val="00C51463"/>
    <w:rsid w:val="00C63E79"/>
    <w:rsid w:val="00CA4D71"/>
    <w:rsid w:val="00CC3C3C"/>
    <w:rsid w:val="00CC3F89"/>
    <w:rsid w:val="00CC771F"/>
    <w:rsid w:val="00D012C2"/>
    <w:rsid w:val="00D204A1"/>
    <w:rsid w:val="00D34943"/>
    <w:rsid w:val="00D47E26"/>
    <w:rsid w:val="00D71488"/>
    <w:rsid w:val="00D8232A"/>
    <w:rsid w:val="00DA0562"/>
    <w:rsid w:val="00DD4454"/>
    <w:rsid w:val="00DF0525"/>
    <w:rsid w:val="00DF5546"/>
    <w:rsid w:val="00E20C32"/>
    <w:rsid w:val="00E31599"/>
    <w:rsid w:val="00E43515"/>
    <w:rsid w:val="00E50F32"/>
    <w:rsid w:val="00E53448"/>
    <w:rsid w:val="00E641F0"/>
    <w:rsid w:val="00E81834"/>
    <w:rsid w:val="00EA76D1"/>
    <w:rsid w:val="00EB15AE"/>
    <w:rsid w:val="00EC1EA5"/>
    <w:rsid w:val="00EE7619"/>
    <w:rsid w:val="00F0780A"/>
    <w:rsid w:val="00F1229B"/>
    <w:rsid w:val="00F34FFB"/>
    <w:rsid w:val="00F35F55"/>
    <w:rsid w:val="00F459CC"/>
    <w:rsid w:val="00FB134E"/>
    <w:rsid w:val="00FD2437"/>
    <w:rsid w:val="00FD38BB"/>
    <w:rsid w:val="00FD5070"/>
    <w:rsid w:val="00FE2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AF00"/>
  <w15:chartTrackingRefBased/>
  <w15:docId w15:val="{5AC58C69-8249-4A34-A3F3-A5A9272E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A5D"/>
    <w:pPr>
      <w:spacing w:after="0" w:line="312" w:lineRule="auto"/>
      <w:jc w:val="both"/>
    </w:pPr>
    <w:rPr>
      <w:rFonts w:ascii="Verdana" w:hAnsi="Verdana" w:cs="Times New Roman"/>
      <w:spacing w:val="4"/>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2A5D"/>
    <w:pPr>
      <w:spacing w:after="0" w:line="288" w:lineRule="auto"/>
      <w:jc w:val="both"/>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C2A5D"/>
    <w:pPr>
      <w:spacing w:line="240" w:lineRule="auto"/>
      <w:jc w:val="left"/>
    </w:pPr>
    <w:rPr>
      <w:rFonts w:ascii="Times New Roman" w:hAnsi="Times New Roman"/>
      <w:spacing w:val="0"/>
      <w:lang w:val="es-MX"/>
    </w:rPr>
  </w:style>
  <w:style w:type="character" w:customStyle="1" w:styleId="TextonotapieCar">
    <w:name w:val="Texto nota pie Car"/>
    <w:basedOn w:val="Fuentedeprrafopredeter"/>
    <w:link w:val="Textonotapie"/>
    <w:uiPriority w:val="99"/>
    <w:semiHidden/>
    <w:rsid w:val="004C2A5D"/>
    <w:rPr>
      <w:rFonts w:ascii="Times New Roman" w:hAnsi="Times New Roman" w:cs="Times New Roman"/>
      <w:sz w:val="20"/>
      <w:szCs w:val="20"/>
    </w:rPr>
  </w:style>
  <w:style w:type="paragraph" w:customStyle="1" w:styleId="Sinespaciado1">
    <w:name w:val="Sin espaciado1"/>
    <w:uiPriority w:val="1"/>
    <w:qFormat/>
    <w:rsid w:val="004C2A5D"/>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4C2A5D"/>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basedOn w:val="Fuentedeprrafopredeter"/>
    <w:uiPriority w:val="99"/>
    <w:semiHidden/>
    <w:unhideWhenUsed/>
    <w:rsid w:val="004C2A5D"/>
    <w:rPr>
      <w:vertAlign w:val="superscript"/>
    </w:rPr>
  </w:style>
  <w:style w:type="paragraph" w:styleId="Encabezado">
    <w:name w:val="header"/>
    <w:basedOn w:val="Normal"/>
    <w:link w:val="EncabezadoCar"/>
    <w:uiPriority w:val="99"/>
    <w:unhideWhenUsed/>
    <w:rsid w:val="00D47E2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47E26"/>
    <w:rPr>
      <w:rFonts w:ascii="Verdana" w:hAnsi="Verdana" w:cs="Times New Roman"/>
      <w:spacing w:val="4"/>
      <w:sz w:val="20"/>
      <w:szCs w:val="20"/>
      <w:lang w:val="es-ES"/>
    </w:rPr>
  </w:style>
  <w:style w:type="paragraph" w:styleId="Piedepgina">
    <w:name w:val="footer"/>
    <w:basedOn w:val="Normal"/>
    <w:link w:val="PiedepginaCar"/>
    <w:uiPriority w:val="99"/>
    <w:unhideWhenUsed/>
    <w:rsid w:val="00D47E2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47E26"/>
    <w:rPr>
      <w:rFonts w:ascii="Verdana" w:hAnsi="Verdana" w:cs="Times New Roman"/>
      <w:spacing w:val="4"/>
      <w:sz w:val="20"/>
      <w:szCs w:val="20"/>
      <w:lang w:val="es-ES"/>
    </w:rPr>
  </w:style>
  <w:style w:type="character" w:styleId="Refdecomentario">
    <w:name w:val="annotation reference"/>
    <w:basedOn w:val="Fuentedeprrafopredeter"/>
    <w:uiPriority w:val="99"/>
    <w:semiHidden/>
    <w:unhideWhenUsed/>
    <w:rsid w:val="008B6C88"/>
    <w:rPr>
      <w:sz w:val="16"/>
      <w:szCs w:val="16"/>
    </w:rPr>
  </w:style>
  <w:style w:type="paragraph" w:styleId="Textocomentario">
    <w:name w:val="annotation text"/>
    <w:basedOn w:val="Normal"/>
    <w:link w:val="TextocomentarioCar"/>
    <w:uiPriority w:val="99"/>
    <w:unhideWhenUsed/>
    <w:rsid w:val="008B6C88"/>
    <w:pPr>
      <w:spacing w:line="240" w:lineRule="auto"/>
    </w:pPr>
  </w:style>
  <w:style w:type="character" w:customStyle="1" w:styleId="TextocomentarioCar">
    <w:name w:val="Texto comentario Car"/>
    <w:basedOn w:val="Fuentedeprrafopredeter"/>
    <w:link w:val="Textocomentario"/>
    <w:uiPriority w:val="99"/>
    <w:rsid w:val="008B6C88"/>
    <w:rPr>
      <w:rFonts w:ascii="Verdana" w:hAnsi="Verdana" w:cs="Times New Roman"/>
      <w:spacing w:val="4"/>
      <w:sz w:val="20"/>
      <w:szCs w:val="20"/>
      <w:lang w:val="es-ES"/>
    </w:rPr>
  </w:style>
  <w:style w:type="paragraph" w:styleId="Asuntodelcomentario">
    <w:name w:val="annotation subject"/>
    <w:basedOn w:val="Textocomentario"/>
    <w:next w:val="Textocomentario"/>
    <w:link w:val="AsuntodelcomentarioCar"/>
    <w:uiPriority w:val="99"/>
    <w:semiHidden/>
    <w:unhideWhenUsed/>
    <w:rsid w:val="008B6C88"/>
    <w:rPr>
      <w:b/>
      <w:bCs/>
    </w:rPr>
  </w:style>
  <w:style w:type="character" w:customStyle="1" w:styleId="AsuntodelcomentarioCar">
    <w:name w:val="Asunto del comentario Car"/>
    <w:basedOn w:val="TextocomentarioCar"/>
    <w:link w:val="Asuntodelcomentario"/>
    <w:uiPriority w:val="99"/>
    <w:semiHidden/>
    <w:rsid w:val="008B6C88"/>
    <w:rPr>
      <w:rFonts w:ascii="Verdana" w:hAnsi="Verdana" w:cs="Times New Roman"/>
      <w:b/>
      <w:bCs/>
      <w:spacing w:val="4"/>
      <w:sz w:val="20"/>
      <w:szCs w:val="20"/>
      <w:lang w:val="es-ES"/>
    </w:rPr>
  </w:style>
  <w:style w:type="paragraph" w:styleId="Prrafodelista">
    <w:name w:val="List Paragraph"/>
    <w:basedOn w:val="Normal"/>
    <w:link w:val="PrrafodelistaCar"/>
    <w:uiPriority w:val="34"/>
    <w:qFormat/>
    <w:rsid w:val="00E20C32"/>
    <w:pPr>
      <w:ind w:left="720"/>
      <w:contextualSpacing/>
    </w:pPr>
  </w:style>
  <w:style w:type="character" w:customStyle="1" w:styleId="PrrafodelistaCar">
    <w:name w:val="Párrafo de lista Car"/>
    <w:link w:val="Prrafodelista"/>
    <w:uiPriority w:val="34"/>
    <w:locked/>
    <w:rsid w:val="006A5F4F"/>
    <w:rPr>
      <w:rFonts w:ascii="Verdana" w:hAnsi="Verdana" w:cs="Times New Roman"/>
      <w:spacing w:val="4"/>
      <w:sz w:val="20"/>
      <w:szCs w:val="20"/>
      <w:lang w:val="es-ES"/>
    </w:rPr>
  </w:style>
  <w:style w:type="paragraph" w:styleId="Revisin">
    <w:name w:val="Revision"/>
    <w:hidden/>
    <w:uiPriority w:val="99"/>
    <w:semiHidden/>
    <w:rsid w:val="008C692B"/>
    <w:pPr>
      <w:spacing w:after="0" w:line="240" w:lineRule="auto"/>
    </w:pPr>
    <w:rPr>
      <w:rFonts w:ascii="Verdana" w:hAnsi="Verdana" w:cs="Times New Roman"/>
      <w:spacing w:val="4"/>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31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E8D82E152D0A3428AC92D57752A5102" ma:contentTypeVersion="4" ma:contentTypeDescription="Crear nuevo documento." ma:contentTypeScope="" ma:versionID="e4f56b6944087a2d32f022f6ffdfee9e">
  <xsd:schema xmlns:xsd="http://www.w3.org/2001/XMLSchema" xmlns:xs="http://www.w3.org/2001/XMLSchema" xmlns:p="http://schemas.microsoft.com/office/2006/metadata/properties" xmlns:ns3="2bcb3029-17b2-450a-ad4f-22d328185b58" targetNamespace="http://schemas.microsoft.com/office/2006/metadata/properties" ma:root="true" ma:fieldsID="da752384eb29999e9b863bdfc7a6b68b" ns3:_="">
    <xsd:import namespace="2bcb3029-17b2-450a-ad4f-22d328185b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3029-17b2-450a-ad4f-22d32818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E743B-0D73-416C-AAD4-44E0CC445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7B8177-72DE-4761-9BBB-9E7532005895}">
  <ds:schemaRefs>
    <ds:schemaRef ds:uri="http://schemas.openxmlformats.org/officeDocument/2006/bibliography"/>
  </ds:schemaRefs>
</ds:datastoreItem>
</file>

<file path=customXml/itemProps3.xml><?xml version="1.0" encoding="utf-8"?>
<ds:datastoreItem xmlns:ds="http://schemas.openxmlformats.org/officeDocument/2006/customXml" ds:itemID="{DE6067AB-8B6D-45DF-9F98-F0DA28C9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3029-17b2-450a-ad4f-22d328185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8F6AC-9BA6-4563-BB71-CC7D77660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2597</Words>
  <Characters>14288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 RUSSEK, S.C.</dc:creator>
  <cp:keywords/>
  <dc:description/>
  <cp:lastModifiedBy>Josué Adrián Ortiz Calderón</cp:lastModifiedBy>
  <cp:revision>5</cp:revision>
  <dcterms:created xsi:type="dcterms:W3CDTF">2024-08-24T16:05:00Z</dcterms:created>
  <dcterms:modified xsi:type="dcterms:W3CDTF">2024-08-26T17:47:00Z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0x0101004E8D82E152D0A3428AC92D57752A5102</vt:lpwstr>
  </property>
</Properties>
</file>